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552"/>
      </w:tblGrid>
      <w:tr w:rsidR="009B4CE7" w:rsidRPr="008C7163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9B4CE7" w:rsidRPr="008C7163" w:rsidRDefault="008C7163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  <w:lang w:val="en-GB"/>
              </w:rPr>
            </w:pPr>
            <w:r w:rsidRPr="008C7163">
              <w:rPr>
                <w:rFonts w:ascii="Verdana" w:hAnsi="Verdana" w:cs="Arial"/>
                <w:b/>
                <w:lang w:val="en-GB"/>
              </w:rPr>
              <w:t>Annex 5 to the contract in accordance with DE-UZ 119</w:t>
            </w:r>
          </w:p>
          <w:p w:rsidR="008C7163" w:rsidRPr="008C7163" w:rsidRDefault="008C7163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  <w:u w:val="single"/>
                <w:lang w:val="en-GB"/>
              </w:rPr>
            </w:pPr>
          </w:p>
          <w:p w:rsidR="009B4CE7" w:rsidRPr="008C7163" w:rsidRDefault="008C7163" w:rsidP="008C7163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Verdana" w:hAnsi="Verdana" w:cs="Arial"/>
                <w:b/>
                <w:u w:val="single"/>
              </w:rPr>
            </w:pPr>
            <w:r w:rsidRPr="008C7163">
              <w:rPr>
                <w:rFonts w:ascii="Verdana" w:hAnsi="Verdana" w:cs="Arial"/>
                <w:b/>
              </w:rPr>
              <w:t xml:space="preserve">Ecolabel </w:t>
            </w:r>
            <w:proofErr w:type="spellStart"/>
            <w:r w:rsidRPr="008C7163">
              <w:rPr>
                <w:rFonts w:ascii="Verdana" w:hAnsi="Verdana" w:cs="Arial"/>
                <w:b/>
              </w:rPr>
              <w:t>fo</w:t>
            </w:r>
            <w:r w:rsidRPr="008C7163">
              <w:rPr>
                <w:rFonts w:ascii="Verdana" w:hAnsi="Verdana" w:cs="Arial"/>
                <w:b/>
              </w:rPr>
              <w:t>r</w:t>
            </w:r>
            <w:proofErr w:type="spellEnd"/>
            <w:r w:rsidRPr="008C7163">
              <w:rPr>
                <w:rFonts w:ascii="Verdana" w:hAnsi="Verdana" w:cs="Arial"/>
                <w:b/>
              </w:rPr>
              <w:t xml:space="preserve"> </w:t>
            </w:r>
            <w:r w:rsidRPr="008C7163">
              <w:rPr>
                <w:rFonts w:ascii="Verdana" w:hAnsi="Verdana" w:cs="Arial"/>
                <w:b/>
              </w:rPr>
              <w:t>"</w:t>
            </w:r>
            <w:proofErr w:type="spellStart"/>
            <w:r w:rsidRPr="008C7163">
              <w:rPr>
                <w:rFonts w:ascii="Verdana" w:hAnsi="Verdana" w:cs="Arial"/>
                <w:b/>
              </w:rPr>
              <w:t>Mattresses</w:t>
            </w:r>
            <w:proofErr w:type="spellEnd"/>
            <w:r w:rsidRPr="008C7163">
              <w:rPr>
                <w:rFonts w:ascii="Verdana" w:hAnsi="Verdana" w:cs="Arial"/>
                <w:b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4CE7" w:rsidRPr="008C7163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  <w:u w:val="single"/>
              </w:rPr>
            </w:pPr>
          </w:p>
          <w:p w:rsidR="009B4CE7" w:rsidRPr="008C7163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  <w:u w:val="single"/>
              </w:rPr>
            </w:pPr>
          </w:p>
          <w:p w:rsidR="009B4CE7" w:rsidRPr="008C7163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4CE7" w:rsidRPr="008C7163" w:rsidRDefault="008C7163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Verdana" w:hAnsi="Verdana" w:cs="Arial"/>
                <w:b/>
              </w:rPr>
            </w:pPr>
            <w:proofErr w:type="spellStart"/>
            <w:r w:rsidRPr="008C7163">
              <w:rPr>
                <w:rFonts w:ascii="Verdana" w:hAnsi="Verdana" w:cs="Arial"/>
                <w:b/>
              </w:rPr>
              <w:t>Please</w:t>
            </w:r>
            <w:proofErr w:type="spellEnd"/>
            <w:r w:rsidRPr="008C7163">
              <w:rPr>
                <w:rFonts w:ascii="Verdana" w:hAnsi="Verdana" w:cs="Arial"/>
                <w:b/>
              </w:rPr>
              <w:t xml:space="preserve"> </w:t>
            </w:r>
            <w:proofErr w:type="spellStart"/>
            <w:r w:rsidRPr="008C7163">
              <w:rPr>
                <w:rFonts w:ascii="Verdana" w:hAnsi="Verdana" w:cs="Arial"/>
                <w:b/>
              </w:rPr>
              <w:t>use</w:t>
            </w:r>
            <w:proofErr w:type="spellEnd"/>
            <w:r w:rsidRPr="008C7163">
              <w:rPr>
                <w:rFonts w:ascii="Verdana" w:hAnsi="Verdana" w:cs="Arial"/>
                <w:b/>
              </w:rPr>
              <w:t xml:space="preserve"> </w:t>
            </w:r>
          </w:p>
          <w:p w:rsidR="008C7163" w:rsidRPr="008C7163" w:rsidRDefault="008C7163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Verdana" w:hAnsi="Verdana" w:cs="Arial"/>
                <w:b/>
              </w:rPr>
            </w:pPr>
          </w:p>
          <w:p w:rsidR="008C7163" w:rsidRPr="008C7163" w:rsidRDefault="008C7163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Verdana" w:hAnsi="Verdana" w:cs="Arial"/>
                <w:b/>
              </w:rPr>
            </w:pPr>
            <w:r w:rsidRPr="008C7163">
              <w:rPr>
                <w:rFonts w:ascii="Verdana" w:hAnsi="Verdana" w:cs="Arial"/>
                <w:b/>
              </w:rPr>
              <w:t>This form</w:t>
            </w:r>
          </w:p>
          <w:p w:rsidR="009B4CE7" w:rsidRPr="008C7163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Verdana" w:hAnsi="Verdana" w:cs="Arial"/>
                <w:b/>
              </w:rPr>
            </w:pPr>
          </w:p>
        </w:tc>
      </w:tr>
    </w:tbl>
    <w:p w:rsidR="009B4CE7" w:rsidRPr="008C7163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Verdana" w:hAnsi="Verdana" w:cs="Arial"/>
        </w:rPr>
      </w:pPr>
    </w:p>
    <w:p w:rsidR="009B4CE7" w:rsidRPr="008C7163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Verdana" w:hAnsi="Verdana" w:cs="Arial"/>
        </w:rPr>
      </w:pPr>
    </w:p>
    <w:p w:rsidR="00AF0A0B" w:rsidRPr="008C7163" w:rsidRDefault="008C7163" w:rsidP="008C7163">
      <w:pPr>
        <w:tabs>
          <w:tab w:val="left" w:pos="3686"/>
        </w:tabs>
        <w:ind w:left="5670" w:hanging="5670"/>
        <w:jc w:val="center"/>
        <w:rPr>
          <w:rFonts w:ascii="Verdana" w:hAnsi="Verdana"/>
          <w:b/>
          <w:lang w:val="en-GB"/>
        </w:rPr>
      </w:pPr>
      <w:r w:rsidRPr="008C7163">
        <w:rPr>
          <w:rFonts w:ascii="Verdana" w:hAnsi="Verdana"/>
          <w:b/>
          <w:lang w:val="en-GB"/>
        </w:rPr>
        <w:t>Declaration of the adhesive manufacturer/supplier</w:t>
      </w:r>
    </w:p>
    <w:p w:rsidR="008C7163" w:rsidRPr="008C7163" w:rsidRDefault="008C7163" w:rsidP="008C7163">
      <w:pPr>
        <w:tabs>
          <w:tab w:val="left" w:pos="3686"/>
        </w:tabs>
        <w:ind w:left="5670" w:hanging="5670"/>
        <w:jc w:val="center"/>
        <w:rPr>
          <w:rFonts w:ascii="Verdana" w:hAnsi="Verdana"/>
          <w:lang w:val="en-GB"/>
        </w:rPr>
      </w:pPr>
    </w:p>
    <w:p w:rsidR="0071209B" w:rsidRPr="000D4E82" w:rsidRDefault="008C7163" w:rsidP="0071209B">
      <w:pPr>
        <w:tabs>
          <w:tab w:val="left" w:pos="3686"/>
        </w:tabs>
        <w:ind w:left="5670" w:hanging="5670"/>
        <w:rPr>
          <w:rFonts w:ascii="Verdana" w:hAnsi="Verdana"/>
        </w:rPr>
      </w:pPr>
      <w:proofErr w:type="spellStart"/>
      <w:r>
        <w:rPr>
          <w:rFonts w:ascii="Verdana" w:hAnsi="Verdana"/>
        </w:rPr>
        <w:t>Manufacturer</w:t>
      </w:r>
      <w:proofErr w:type="spellEnd"/>
      <w:r>
        <w:rPr>
          <w:rFonts w:ascii="Verdana" w:hAnsi="Verdana"/>
        </w:rPr>
        <w:t>/supplier</w:t>
      </w:r>
      <w:r w:rsidR="0071209B" w:rsidRPr="000D4E82">
        <w:rPr>
          <w:rFonts w:ascii="Verdana" w:hAnsi="Verdana"/>
        </w:rPr>
        <w:t>:</w:t>
      </w:r>
      <w:r w:rsidR="0071209B" w:rsidRPr="00595758">
        <w:rPr>
          <w:rFonts w:ascii="Verdana" w:hAnsi="Verdana"/>
          <w:sz w:val="22"/>
          <w:szCs w:val="22"/>
        </w:rPr>
        <w:t xml:space="preserve"> </w:t>
      </w:r>
      <w:r w:rsidR="0071209B"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1209B">
        <w:rPr>
          <w:rFonts w:ascii="Verdana" w:hAnsi="Verdana"/>
          <w:sz w:val="22"/>
          <w:szCs w:val="22"/>
        </w:rPr>
        <w:instrText xml:space="preserve"> FORMTEXT </w:instrText>
      </w:r>
      <w:r w:rsidR="0071209B">
        <w:rPr>
          <w:rFonts w:ascii="Verdana" w:hAnsi="Verdana"/>
          <w:sz w:val="22"/>
          <w:szCs w:val="22"/>
        </w:rPr>
      </w:r>
      <w:r w:rsidR="0071209B">
        <w:rPr>
          <w:rFonts w:ascii="Verdana" w:hAnsi="Verdana"/>
          <w:sz w:val="22"/>
          <w:szCs w:val="22"/>
        </w:rPr>
        <w:fldChar w:fldCharType="separate"/>
      </w:r>
      <w:r w:rsidR="0071209B">
        <w:rPr>
          <w:rFonts w:ascii="Verdana" w:hAnsi="Verdana"/>
          <w:noProof/>
          <w:sz w:val="22"/>
          <w:szCs w:val="22"/>
        </w:rPr>
        <w:t> </w:t>
      </w:r>
      <w:r w:rsidR="0071209B">
        <w:rPr>
          <w:rFonts w:ascii="Verdana" w:hAnsi="Verdana"/>
          <w:noProof/>
          <w:sz w:val="22"/>
          <w:szCs w:val="22"/>
        </w:rPr>
        <w:t> </w:t>
      </w:r>
      <w:r w:rsidR="0071209B">
        <w:rPr>
          <w:rFonts w:ascii="Verdana" w:hAnsi="Verdana"/>
          <w:noProof/>
          <w:sz w:val="22"/>
          <w:szCs w:val="22"/>
        </w:rPr>
        <w:t> </w:t>
      </w:r>
      <w:r w:rsidR="0071209B">
        <w:rPr>
          <w:rFonts w:ascii="Verdana" w:hAnsi="Verdana"/>
          <w:noProof/>
          <w:sz w:val="22"/>
          <w:szCs w:val="22"/>
        </w:rPr>
        <w:t> </w:t>
      </w:r>
      <w:r w:rsidR="0071209B">
        <w:rPr>
          <w:rFonts w:ascii="Verdana" w:hAnsi="Verdana"/>
          <w:noProof/>
          <w:sz w:val="22"/>
          <w:szCs w:val="22"/>
        </w:rPr>
        <w:t> </w:t>
      </w:r>
      <w:r w:rsidR="0071209B">
        <w:rPr>
          <w:rFonts w:ascii="Verdana" w:hAnsi="Verdana"/>
          <w:sz w:val="22"/>
          <w:szCs w:val="22"/>
        </w:rPr>
        <w:fldChar w:fldCharType="end"/>
      </w:r>
      <w:r w:rsidR="0071209B" w:rsidRPr="000D4E82">
        <w:rPr>
          <w:rFonts w:ascii="Verdana" w:hAnsi="Verdana"/>
        </w:rPr>
        <w:tab/>
      </w:r>
    </w:p>
    <w:p w:rsidR="0071209B" w:rsidRPr="000D4E82" w:rsidRDefault="0071209B" w:rsidP="0071209B">
      <w:pPr>
        <w:tabs>
          <w:tab w:val="left" w:pos="3686"/>
        </w:tabs>
        <w:rPr>
          <w:rFonts w:ascii="Verdana" w:hAnsi="Verdana"/>
        </w:rPr>
      </w:pPr>
      <w:r w:rsidRPr="000D4E82">
        <w:rPr>
          <w:rFonts w:ascii="Verdana" w:hAnsi="Verdana"/>
        </w:rPr>
        <w:t>(</w:t>
      </w:r>
      <w:proofErr w:type="spellStart"/>
      <w:r w:rsidR="008C7163">
        <w:rPr>
          <w:rFonts w:ascii="Verdana" w:hAnsi="Verdana"/>
        </w:rPr>
        <w:t>Full</w:t>
      </w:r>
      <w:proofErr w:type="spellEnd"/>
      <w:r w:rsidR="008C7163">
        <w:rPr>
          <w:rFonts w:ascii="Verdana" w:hAnsi="Verdana"/>
        </w:rPr>
        <w:t xml:space="preserve"> </w:t>
      </w:r>
      <w:proofErr w:type="spellStart"/>
      <w:r w:rsidR="008C7163">
        <w:rPr>
          <w:rFonts w:ascii="Verdana" w:hAnsi="Verdana"/>
        </w:rPr>
        <w:t>address</w:t>
      </w:r>
      <w:proofErr w:type="spellEnd"/>
      <w:r w:rsidRPr="000D4E82">
        <w:rPr>
          <w:rFonts w:ascii="Verdana" w:hAnsi="Verdana"/>
        </w:rPr>
        <w:t>)</w:t>
      </w:r>
      <w:r w:rsidRPr="00595758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Verdana" w:hAnsi="Verdana"/>
          <w:sz w:val="22"/>
          <w:szCs w:val="22"/>
        </w:rPr>
        <w:instrText xml:space="preserve"> FORMTEXT </w:instrText>
      </w:r>
      <w:r>
        <w:rPr>
          <w:rFonts w:ascii="Verdana" w:hAnsi="Verdana"/>
          <w:sz w:val="22"/>
          <w:szCs w:val="22"/>
        </w:rPr>
      </w:r>
      <w:r>
        <w:rPr>
          <w:rFonts w:ascii="Verdana" w:hAnsi="Verdana"/>
          <w:sz w:val="22"/>
          <w:szCs w:val="22"/>
        </w:rPr>
        <w:fldChar w:fldCharType="separate"/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sz w:val="22"/>
          <w:szCs w:val="22"/>
        </w:rPr>
        <w:fldChar w:fldCharType="end"/>
      </w:r>
      <w:r w:rsidRPr="000D4E82">
        <w:rPr>
          <w:rFonts w:ascii="Verdana" w:hAnsi="Verdana"/>
        </w:rPr>
        <w:tab/>
      </w:r>
    </w:p>
    <w:p w:rsidR="0071209B" w:rsidRPr="00546FD5" w:rsidRDefault="0071209B" w:rsidP="0071209B">
      <w:pPr>
        <w:tabs>
          <w:tab w:val="left" w:pos="3686"/>
        </w:tabs>
        <w:ind w:left="5670" w:hanging="5670"/>
        <w:rPr>
          <w:rFonts w:ascii="Verdana" w:hAnsi="Verdana"/>
          <w:b/>
          <w:sz w:val="22"/>
        </w:rPr>
      </w:pPr>
      <w:r w:rsidRPr="00C65FF3">
        <w:rPr>
          <w:rFonts w:ascii="Verdana" w:hAnsi="Verdana"/>
          <w:sz w:val="22"/>
        </w:rPr>
        <w:tab/>
      </w:r>
    </w:p>
    <w:p w:rsidR="0071209B" w:rsidRDefault="0071209B" w:rsidP="0071209B">
      <w:pPr>
        <w:tabs>
          <w:tab w:val="left" w:pos="3686"/>
        </w:tabs>
        <w:ind w:left="5670" w:hanging="5670"/>
        <w:rPr>
          <w:rFonts w:ascii="Verdana" w:hAnsi="Verdana"/>
          <w:sz w:val="22"/>
        </w:rPr>
      </w:pPr>
    </w:p>
    <w:p w:rsidR="00AF0A0B" w:rsidRDefault="00AF0A0B" w:rsidP="0018371C">
      <w:pPr>
        <w:tabs>
          <w:tab w:val="left" w:pos="3686"/>
        </w:tabs>
        <w:rPr>
          <w:rFonts w:ascii="Verdana" w:hAnsi="Verdana"/>
          <w:sz w:val="22"/>
        </w:rPr>
      </w:pPr>
    </w:p>
    <w:p w:rsidR="0071209B" w:rsidRPr="00C65FF3" w:rsidRDefault="0071209B" w:rsidP="0071209B">
      <w:pPr>
        <w:tabs>
          <w:tab w:val="left" w:pos="3686"/>
        </w:tabs>
        <w:ind w:left="5670" w:hanging="5670"/>
        <w:rPr>
          <w:rFonts w:ascii="Verdana" w:hAnsi="Verdan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71209B" w:rsidRPr="008C7163" w:rsidTr="00544469">
        <w:trPr>
          <w:trHeight w:val="319"/>
        </w:trPr>
        <w:tc>
          <w:tcPr>
            <w:tcW w:w="8897" w:type="dxa"/>
            <w:shd w:val="clear" w:color="auto" w:fill="D9D9D9"/>
          </w:tcPr>
          <w:p w:rsidR="0071209B" w:rsidRPr="008C7163" w:rsidRDefault="008C7163" w:rsidP="0071209B">
            <w:pPr>
              <w:tabs>
                <w:tab w:val="left" w:pos="4536"/>
                <w:tab w:val="left" w:pos="4820"/>
              </w:tabs>
              <w:ind w:left="5670" w:hanging="5670"/>
              <w:jc w:val="center"/>
              <w:outlineLvl w:val="0"/>
              <w:rPr>
                <w:rFonts w:ascii="Verdana" w:hAnsi="Verdana"/>
                <w:b/>
                <w:lang w:val="en-GB"/>
              </w:rPr>
            </w:pPr>
            <w:r w:rsidRPr="008C7163">
              <w:rPr>
                <w:rFonts w:ascii="Verdana" w:hAnsi="Verdana"/>
                <w:b/>
                <w:lang w:val="en-GB"/>
              </w:rPr>
              <w:t>Trade name of the adhesives</w:t>
            </w:r>
          </w:p>
        </w:tc>
      </w:tr>
      <w:tr w:rsidR="0071209B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71209B" w:rsidRDefault="0071209B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71209B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71209B" w:rsidRDefault="0071209B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71209B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71209B" w:rsidRDefault="0071209B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71209B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71209B" w:rsidRDefault="0071209B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71209B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71209B" w:rsidRDefault="0071209B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71209B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71209B" w:rsidRDefault="0071209B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</w:tbl>
    <w:p w:rsidR="0071209B" w:rsidRDefault="0071209B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</w:pPr>
    </w:p>
    <w:p w:rsidR="0071209B" w:rsidRPr="000B2EA7" w:rsidRDefault="008C7163" w:rsidP="0071209B">
      <w:pPr>
        <w:tabs>
          <w:tab w:val="left" w:pos="6804"/>
        </w:tabs>
        <w:ind w:left="284" w:hanging="284"/>
        <w:jc w:val="center"/>
        <w:rPr>
          <w:rFonts w:ascii="Verdana" w:hAnsi="Verdana" w:cs="Arial"/>
          <w:b/>
          <w:sz w:val="22"/>
          <w:szCs w:val="22"/>
          <w:u w:val="single"/>
          <w:lang w:val="en-GB"/>
        </w:rPr>
      </w:pPr>
      <w:r w:rsidRPr="000B2EA7">
        <w:rPr>
          <w:rFonts w:ascii="Verdana" w:hAnsi="Verdana" w:cs="Arial"/>
          <w:b/>
          <w:sz w:val="22"/>
          <w:szCs w:val="22"/>
          <w:u w:val="single"/>
          <w:lang w:val="en-GB"/>
        </w:rPr>
        <w:t>Declaration</w:t>
      </w:r>
    </w:p>
    <w:p w:rsidR="0071209B" w:rsidRPr="000B2EA7" w:rsidRDefault="0071209B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</w:p>
    <w:p w:rsidR="00A83B77" w:rsidRPr="000B2EA7" w:rsidRDefault="00A83B77" w:rsidP="00A83B77">
      <w:pPr>
        <w:spacing w:line="360" w:lineRule="auto"/>
        <w:rPr>
          <w:rFonts w:ascii="Verdana" w:hAnsi="Verdana" w:cs="Arial"/>
          <w:b/>
          <w:lang w:val="en-GB"/>
        </w:rPr>
      </w:pPr>
      <w:r w:rsidRPr="000B2EA7">
        <w:rPr>
          <w:rFonts w:ascii="Verdana" w:hAnsi="Verdana" w:cs="Arial"/>
          <w:b/>
          <w:lang w:val="en-GB"/>
        </w:rPr>
        <w:t>3.1</w:t>
      </w:r>
      <w:r w:rsidRPr="000B2EA7">
        <w:rPr>
          <w:rFonts w:ascii="Verdana" w:hAnsi="Verdana" w:cs="Arial"/>
          <w:b/>
          <w:lang w:val="en-GB"/>
        </w:rPr>
        <w:tab/>
      </w:r>
      <w:r w:rsidR="008C7163" w:rsidRPr="000B2EA7">
        <w:rPr>
          <w:rFonts w:ascii="Verdana" w:hAnsi="Verdana" w:cs="Arial"/>
          <w:b/>
          <w:lang w:val="en-GB"/>
        </w:rPr>
        <w:t>General substance requirements</w:t>
      </w:r>
      <w:r w:rsidRPr="000B2EA7">
        <w:rPr>
          <w:rFonts w:ascii="Verdana" w:hAnsi="Verdana" w:cs="Arial"/>
          <w:b/>
          <w:lang w:val="en-GB"/>
        </w:rPr>
        <w:t xml:space="preserve"> </w:t>
      </w:r>
    </w:p>
    <w:p w:rsidR="00A83B77" w:rsidRPr="008C7163" w:rsidRDefault="008C7163" w:rsidP="00A83B77">
      <w:pPr>
        <w:spacing w:line="276" w:lineRule="auto"/>
        <w:rPr>
          <w:rFonts w:ascii="Verdana" w:hAnsi="Verdana" w:cs="Arial"/>
          <w:lang w:val="en-GB"/>
        </w:rPr>
      </w:pPr>
      <w:r w:rsidRPr="008C7163">
        <w:rPr>
          <w:rFonts w:ascii="Verdana" w:hAnsi="Verdana" w:cs="Arial"/>
          <w:lang w:val="en-GB"/>
        </w:rPr>
        <w:t>We hereby confirm that our products listed above do not contain any substances with the following properties as constitutional</w:t>
      </w:r>
      <w:r>
        <w:rPr>
          <w:rFonts w:ascii="Verdana" w:hAnsi="Verdana" w:cs="Arial"/>
          <w:lang w:val="en-GB"/>
        </w:rPr>
        <w:t xml:space="preserve"> components</w:t>
      </w:r>
      <w:r w:rsidR="000B2EA7">
        <w:rPr>
          <w:rStyle w:val="Funotenzeichen"/>
          <w:rFonts w:ascii="Verdana" w:hAnsi="Verdana" w:cs="Arial"/>
          <w:lang w:val="en-GB"/>
        </w:rPr>
        <w:footnoteReference w:id="1"/>
      </w:r>
      <w:r w:rsidR="00A83B77" w:rsidRPr="008C7163">
        <w:rPr>
          <w:rFonts w:ascii="Verdana" w:hAnsi="Verdana" w:cs="Arial"/>
          <w:lang w:val="en-GB"/>
        </w:rPr>
        <w:t>:</w:t>
      </w:r>
    </w:p>
    <w:p w:rsidR="00A83B77" w:rsidRPr="008C7163" w:rsidRDefault="00A83B77" w:rsidP="00A83B77">
      <w:pPr>
        <w:tabs>
          <w:tab w:val="left" w:pos="0"/>
        </w:tabs>
        <w:spacing w:line="276" w:lineRule="auto"/>
        <w:ind w:left="284" w:hanging="284"/>
        <w:rPr>
          <w:rFonts w:ascii="Verdana" w:hAnsi="Verdana" w:cs="Arial"/>
          <w:lang w:val="en-GB"/>
        </w:rPr>
      </w:pPr>
    </w:p>
    <w:p w:rsidR="00A83B77" w:rsidRPr="00C32D69" w:rsidRDefault="00A83B77" w:rsidP="00C32D69">
      <w:pPr>
        <w:spacing w:line="276" w:lineRule="auto"/>
        <w:ind w:left="426" w:hanging="426"/>
        <w:jc w:val="both"/>
        <w:textAlignment w:val="auto"/>
        <w:rPr>
          <w:rFonts w:ascii="Verdana" w:hAnsi="Verdana" w:cs="Arial"/>
          <w:lang w:val="en-GB"/>
        </w:rPr>
      </w:pPr>
      <w:r w:rsidRPr="00C32D69">
        <w:rPr>
          <w:rFonts w:ascii="Verdana" w:hAnsi="Verdana" w:cs="Arial"/>
          <w:lang w:val="en-GB"/>
        </w:rPr>
        <w:t xml:space="preserve">1. </w:t>
      </w:r>
      <w:r w:rsidR="00C32D69" w:rsidRPr="00C32D69">
        <w:rPr>
          <w:rFonts w:ascii="Verdana" w:hAnsi="Verdana" w:cs="Arial"/>
          <w:lang w:val="en-GB"/>
        </w:rPr>
        <w:t>Substances which are identified as particularly alarming under the European Chemicals Regulation REACH VO2 and which have been incorporated into the list drawn up in accordance</w:t>
      </w:r>
      <w:r w:rsidR="00C32D69">
        <w:rPr>
          <w:rFonts w:ascii="Verdana" w:hAnsi="Verdana" w:cs="Arial"/>
          <w:lang w:val="en-GB"/>
        </w:rPr>
        <w:t xml:space="preserve"> </w:t>
      </w:r>
      <w:r w:rsidR="00C32D69" w:rsidRPr="00C32D69">
        <w:rPr>
          <w:rFonts w:ascii="Verdana" w:hAnsi="Verdana" w:cs="Arial"/>
          <w:lang w:val="en-GB"/>
        </w:rPr>
        <w:t>with Article 59, Paragraph 1 of the REACH Regulation (so-called “list of candidates”)</w:t>
      </w:r>
      <w:r w:rsidRPr="00C32D69">
        <w:rPr>
          <w:rFonts w:ascii="Verdana" w:hAnsi="Verdana" w:cs="Arial"/>
          <w:lang w:val="en-GB"/>
        </w:rPr>
        <w:t>.</w:t>
      </w:r>
      <w:r w:rsidRPr="000D4E82">
        <w:rPr>
          <w:rFonts w:ascii="Verdana" w:hAnsi="Verdana" w:cs="Arial"/>
          <w:vertAlign w:val="superscript"/>
        </w:rPr>
        <w:footnoteReference w:id="2"/>
      </w:r>
      <w:r w:rsidRPr="00C32D69">
        <w:rPr>
          <w:rFonts w:ascii="Verdana" w:hAnsi="Verdana" w:cs="Arial"/>
          <w:lang w:val="en-GB"/>
        </w:rPr>
        <w:t xml:space="preserve"> </w:t>
      </w:r>
    </w:p>
    <w:p w:rsidR="00A83B77" w:rsidRPr="00C32D69" w:rsidRDefault="00A83B77" w:rsidP="00A83B77">
      <w:pPr>
        <w:spacing w:line="276" w:lineRule="auto"/>
        <w:ind w:left="284" w:hanging="284"/>
        <w:jc w:val="both"/>
        <w:textAlignment w:val="auto"/>
        <w:rPr>
          <w:rFonts w:ascii="Verdana" w:hAnsi="Verdana" w:cs="Arial"/>
          <w:lang w:val="en-GB"/>
        </w:rPr>
      </w:pPr>
      <w:r w:rsidRPr="00C32D69">
        <w:rPr>
          <w:rFonts w:ascii="Verdana" w:hAnsi="Verdana" w:cs="Arial"/>
          <w:lang w:val="en-GB"/>
        </w:rPr>
        <w:t>2.</w:t>
      </w:r>
      <w:r w:rsidR="00C32D69" w:rsidRPr="00C32D69">
        <w:rPr>
          <w:rFonts w:ascii="Verdana" w:hAnsi="Verdana" w:cs="Arial"/>
          <w:lang w:val="en-GB"/>
        </w:rPr>
        <w:tab/>
        <w:t xml:space="preserve">Substances that according to </w:t>
      </w:r>
      <w:r w:rsidR="00C32D69">
        <w:rPr>
          <w:rFonts w:ascii="Verdana" w:hAnsi="Verdana" w:cs="Arial"/>
          <w:lang w:val="en-GB"/>
        </w:rPr>
        <w:t>t</w:t>
      </w:r>
      <w:r w:rsidR="00C32D69" w:rsidRPr="00C32D69">
        <w:rPr>
          <w:rFonts w:ascii="Verdana" w:hAnsi="Verdana" w:cs="Arial"/>
          <w:lang w:val="en-GB"/>
        </w:rPr>
        <w:t>he CLP Regulation have been classi</w:t>
      </w:r>
      <w:r w:rsidR="00C32D69">
        <w:rPr>
          <w:rFonts w:ascii="Verdana" w:hAnsi="Verdana" w:cs="Arial"/>
          <w:lang w:val="en-GB"/>
        </w:rPr>
        <w:t>fied in the following hazard categories or which meet the criteria for such classification:</w:t>
      </w:r>
    </w:p>
    <w:p w:rsidR="00A83B77" w:rsidRPr="00C32D69" w:rsidRDefault="00C32D69" w:rsidP="00A83B77">
      <w:pPr>
        <w:numPr>
          <w:ilvl w:val="0"/>
          <w:numId w:val="15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r w:rsidRPr="00C32D69">
        <w:rPr>
          <w:rFonts w:ascii="Verdana" w:hAnsi="Verdana" w:cs="Arial"/>
          <w:lang w:val="en-GB"/>
        </w:rPr>
        <w:t xml:space="preserve">carcinogenic in categories </w:t>
      </w:r>
      <w:proofErr w:type="spellStart"/>
      <w:r w:rsidRPr="00C32D69">
        <w:rPr>
          <w:rFonts w:ascii="Verdana" w:hAnsi="Verdana" w:cs="Arial"/>
          <w:lang w:val="en-GB"/>
        </w:rPr>
        <w:t>Carc</w:t>
      </w:r>
      <w:proofErr w:type="spellEnd"/>
      <w:r w:rsidRPr="00C32D69">
        <w:rPr>
          <w:rFonts w:ascii="Verdana" w:hAnsi="Verdana" w:cs="Arial"/>
          <w:lang w:val="en-GB"/>
        </w:rPr>
        <w:t xml:space="preserve">. 1A or </w:t>
      </w:r>
      <w:proofErr w:type="spellStart"/>
      <w:r w:rsidRPr="00C32D69">
        <w:rPr>
          <w:rFonts w:ascii="Verdana" w:hAnsi="Verdana" w:cs="Arial"/>
          <w:lang w:val="en-GB"/>
        </w:rPr>
        <w:t>Carc</w:t>
      </w:r>
      <w:proofErr w:type="spellEnd"/>
      <w:r w:rsidRPr="00C32D69">
        <w:rPr>
          <w:rFonts w:ascii="Verdana" w:hAnsi="Verdana" w:cs="Arial"/>
          <w:lang w:val="en-GB"/>
        </w:rPr>
        <w:t>. 1B</w:t>
      </w:r>
      <w:r w:rsidR="00A83B77" w:rsidRPr="00C32D69">
        <w:rPr>
          <w:rFonts w:ascii="Verdana" w:hAnsi="Verdana" w:cs="Arial"/>
          <w:lang w:val="en-GB"/>
        </w:rPr>
        <w:t xml:space="preserve"> </w:t>
      </w:r>
    </w:p>
    <w:p w:rsidR="00C32D69" w:rsidRDefault="00C32D69" w:rsidP="00A83B77">
      <w:pPr>
        <w:numPr>
          <w:ilvl w:val="0"/>
          <w:numId w:val="15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</w:rPr>
      </w:pPr>
      <w:proofErr w:type="spellStart"/>
      <w:r w:rsidRPr="00C32D69">
        <w:rPr>
          <w:rFonts w:ascii="Verdana" w:hAnsi="Verdana" w:cs="Arial"/>
        </w:rPr>
        <w:t>germ</w:t>
      </w:r>
      <w:proofErr w:type="spellEnd"/>
      <w:r w:rsidRPr="00C32D69">
        <w:rPr>
          <w:rFonts w:ascii="Verdana" w:hAnsi="Verdana" w:cs="Arial"/>
        </w:rPr>
        <w:t xml:space="preserve"> </w:t>
      </w:r>
      <w:proofErr w:type="spellStart"/>
      <w:r w:rsidRPr="00C32D69">
        <w:rPr>
          <w:rFonts w:ascii="Verdana" w:hAnsi="Verdana" w:cs="Arial"/>
        </w:rPr>
        <w:t>cell</w:t>
      </w:r>
      <w:proofErr w:type="spellEnd"/>
      <w:r w:rsidRPr="00C32D69">
        <w:rPr>
          <w:rFonts w:ascii="Verdana" w:hAnsi="Verdana" w:cs="Arial"/>
        </w:rPr>
        <w:t xml:space="preserve"> </w:t>
      </w:r>
      <w:proofErr w:type="spellStart"/>
      <w:r w:rsidRPr="00C32D69">
        <w:rPr>
          <w:rFonts w:ascii="Verdana" w:hAnsi="Verdana" w:cs="Arial"/>
        </w:rPr>
        <w:t>mutagenic</w:t>
      </w:r>
      <w:proofErr w:type="spellEnd"/>
      <w:r w:rsidRPr="00C32D69">
        <w:rPr>
          <w:rFonts w:ascii="Verdana" w:hAnsi="Verdana" w:cs="Arial"/>
        </w:rPr>
        <w:t xml:space="preserve"> in </w:t>
      </w:r>
      <w:proofErr w:type="spellStart"/>
      <w:r w:rsidRPr="00C32D69">
        <w:rPr>
          <w:rFonts w:ascii="Verdana" w:hAnsi="Verdana" w:cs="Arial"/>
        </w:rPr>
        <w:t>categories</w:t>
      </w:r>
      <w:proofErr w:type="spellEnd"/>
      <w:r w:rsidRPr="00C32D69">
        <w:rPr>
          <w:rFonts w:ascii="Verdana" w:hAnsi="Verdana" w:cs="Arial"/>
        </w:rPr>
        <w:t xml:space="preserve"> </w:t>
      </w:r>
      <w:proofErr w:type="spellStart"/>
      <w:r w:rsidRPr="00C32D69">
        <w:rPr>
          <w:rFonts w:ascii="Verdana" w:hAnsi="Verdana" w:cs="Arial"/>
        </w:rPr>
        <w:t>Muta</w:t>
      </w:r>
      <w:proofErr w:type="spellEnd"/>
      <w:r w:rsidRPr="00C32D69">
        <w:rPr>
          <w:rFonts w:ascii="Verdana" w:hAnsi="Verdana" w:cs="Arial"/>
        </w:rPr>
        <w:t xml:space="preserve">. 1A </w:t>
      </w:r>
      <w:proofErr w:type="spellStart"/>
      <w:r w:rsidRPr="00C32D69">
        <w:rPr>
          <w:rFonts w:ascii="Verdana" w:hAnsi="Verdana" w:cs="Arial"/>
        </w:rPr>
        <w:t>or</w:t>
      </w:r>
      <w:proofErr w:type="spellEnd"/>
      <w:r w:rsidRPr="00C32D69">
        <w:rPr>
          <w:rFonts w:ascii="Verdana" w:hAnsi="Verdana" w:cs="Arial"/>
        </w:rPr>
        <w:t xml:space="preserve"> </w:t>
      </w:r>
      <w:proofErr w:type="spellStart"/>
      <w:r w:rsidRPr="00C32D69">
        <w:rPr>
          <w:rFonts w:ascii="Verdana" w:hAnsi="Verdana" w:cs="Arial"/>
        </w:rPr>
        <w:t>Muta</w:t>
      </w:r>
      <w:proofErr w:type="spellEnd"/>
      <w:r w:rsidRPr="00C32D69">
        <w:rPr>
          <w:rFonts w:ascii="Verdana" w:hAnsi="Verdana" w:cs="Arial"/>
        </w:rPr>
        <w:t>. 1B</w:t>
      </w:r>
    </w:p>
    <w:p w:rsidR="008A4DA6" w:rsidRDefault="008A4DA6" w:rsidP="00A83B77">
      <w:pPr>
        <w:numPr>
          <w:ilvl w:val="0"/>
          <w:numId w:val="15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r w:rsidRPr="008A4DA6">
        <w:rPr>
          <w:rFonts w:ascii="Verdana" w:hAnsi="Verdana" w:cs="Arial"/>
          <w:lang w:val="en-GB"/>
        </w:rPr>
        <w:t xml:space="preserve">reprotoxic (teratogenic) in categories </w:t>
      </w:r>
      <w:proofErr w:type="spellStart"/>
      <w:r w:rsidRPr="008A4DA6">
        <w:rPr>
          <w:rFonts w:ascii="Verdana" w:hAnsi="Verdana" w:cs="Arial"/>
          <w:lang w:val="en-GB"/>
        </w:rPr>
        <w:t>Repr</w:t>
      </w:r>
      <w:proofErr w:type="spellEnd"/>
      <w:r w:rsidRPr="008A4DA6">
        <w:rPr>
          <w:rFonts w:ascii="Verdana" w:hAnsi="Verdana" w:cs="Arial"/>
          <w:lang w:val="en-GB"/>
        </w:rPr>
        <w:t xml:space="preserve">. 1A or </w:t>
      </w:r>
      <w:proofErr w:type="spellStart"/>
      <w:r w:rsidRPr="008A4DA6">
        <w:rPr>
          <w:rFonts w:ascii="Verdana" w:hAnsi="Verdana" w:cs="Arial"/>
          <w:lang w:val="en-GB"/>
        </w:rPr>
        <w:t>Repr</w:t>
      </w:r>
      <w:proofErr w:type="spellEnd"/>
      <w:r w:rsidRPr="008A4DA6">
        <w:rPr>
          <w:rFonts w:ascii="Verdana" w:hAnsi="Verdana" w:cs="Arial"/>
          <w:lang w:val="en-GB"/>
        </w:rPr>
        <w:t>. 1B</w:t>
      </w:r>
    </w:p>
    <w:p w:rsidR="00A83B77" w:rsidRPr="008A4DA6" w:rsidRDefault="008A4DA6" w:rsidP="00A83B77">
      <w:pPr>
        <w:numPr>
          <w:ilvl w:val="0"/>
          <w:numId w:val="15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r w:rsidRPr="008A4DA6">
        <w:rPr>
          <w:rFonts w:ascii="Verdana" w:hAnsi="Verdana" w:cs="Arial"/>
          <w:lang w:val="en-GB"/>
        </w:rPr>
        <w:t>acute toxicity (poisonous) in categories Acute Tox. 1 or Acute Tox. 2</w:t>
      </w:r>
      <w:r w:rsidR="00A83B77" w:rsidRPr="008A4DA6">
        <w:rPr>
          <w:rFonts w:ascii="Verdana" w:hAnsi="Verdana" w:cs="Arial"/>
          <w:lang w:val="en-GB"/>
        </w:rPr>
        <w:t xml:space="preserve"> </w:t>
      </w:r>
    </w:p>
    <w:p w:rsidR="008A4DA6" w:rsidRPr="008A4DA6" w:rsidRDefault="008A4DA6" w:rsidP="008A4DA6">
      <w:pPr>
        <w:spacing w:line="276" w:lineRule="auto"/>
        <w:ind w:left="851"/>
        <w:jc w:val="both"/>
        <w:textAlignment w:val="auto"/>
        <w:rPr>
          <w:rFonts w:ascii="Verdana" w:hAnsi="Verdana" w:cs="Arial"/>
          <w:lang w:val="en-GB"/>
        </w:rPr>
      </w:pPr>
      <w:r w:rsidRPr="008A4DA6">
        <w:rPr>
          <w:rFonts w:ascii="Verdana" w:hAnsi="Verdana" w:cs="Arial"/>
          <w:lang w:val="en-GB"/>
        </w:rPr>
        <w:t>specific target organ toxicity in categories STOT SE 1, STOT SE. 2, STOT RE. 1 or STOT RE. 2</w:t>
      </w:r>
    </w:p>
    <w:p w:rsidR="00A83B77" w:rsidRPr="008A4DA6" w:rsidRDefault="008A4DA6" w:rsidP="008A4DA6">
      <w:pPr>
        <w:spacing w:line="276" w:lineRule="auto"/>
        <w:ind w:left="284"/>
        <w:jc w:val="both"/>
        <w:textAlignment w:val="auto"/>
        <w:rPr>
          <w:rFonts w:ascii="Verdana" w:hAnsi="Verdana" w:cs="Arial"/>
          <w:lang w:val="en-GB"/>
        </w:rPr>
      </w:pPr>
      <w:r w:rsidRPr="008A4DA6">
        <w:rPr>
          <w:rFonts w:ascii="Verdana" w:hAnsi="Verdana" w:cs="Arial"/>
          <w:lang w:val="en-GB"/>
        </w:rPr>
        <w:t>The corresponding H phrases for</w:t>
      </w:r>
      <w:r>
        <w:rPr>
          <w:rFonts w:ascii="Verdana" w:hAnsi="Verdana" w:cs="Arial"/>
          <w:lang w:val="en-GB"/>
        </w:rPr>
        <w:t xml:space="preserve"> t</w:t>
      </w:r>
      <w:r w:rsidRPr="008A4DA6">
        <w:rPr>
          <w:rFonts w:ascii="Verdana" w:hAnsi="Verdana" w:cs="Arial"/>
          <w:lang w:val="en-GB"/>
        </w:rPr>
        <w:t>he hazard classes and categorie</w:t>
      </w:r>
      <w:r>
        <w:rPr>
          <w:rFonts w:ascii="Verdana" w:hAnsi="Verdana" w:cs="Arial"/>
          <w:lang w:val="en-GB"/>
        </w:rPr>
        <w:t>s can be found in Appendix 1</w:t>
      </w:r>
      <w:r w:rsidR="00A83B77" w:rsidRPr="008A4DA6">
        <w:rPr>
          <w:rFonts w:ascii="Verdana" w:hAnsi="Verdana" w:cs="Arial"/>
          <w:lang w:val="en-GB"/>
        </w:rPr>
        <w:t>.</w:t>
      </w:r>
    </w:p>
    <w:p w:rsidR="00A83B77" w:rsidRPr="008A4DA6" w:rsidRDefault="00A83B77" w:rsidP="00A83B77">
      <w:pPr>
        <w:tabs>
          <w:tab w:val="left" w:pos="1560"/>
        </w:tabs>
        <w:spacing w:line="276" w:lineRule="auto"/>
        <w:ind w:left="426" w:hanging="426"/>
        <w:jc w:val="both"/>
        <w:textAlignment w:val="auto"/>
        <w:rPr>
          <w:rFonts w:ascii="Verdana" w:hAnsi="Verdana" w:cs="Arial"/>
          <w:lang w:val="en-GB"/>
        </w:rPr>
      </w:pPr>
    </w:p>
    <w:p w:rsidR="00A83B77" w:rsidRPr="00F47DB2" w:rsidRDefault="00A83B77" w:rsidP="00A83B77">
      <w:pPr>
        <w:tabs>
          <w:tab w:val="left" w:pos="1560"/>
        </w:tabs>
        <w:spacing w:line="276" w:lineRule="auto"/>
        <w:ind w:left="426" w:hanging="426"/>
        <w:jc w:val="both"/>
        <w:textAlignment w:val="auto"/>
        <w:rPr>
          <w:rFonts w:ascii="Verdana" w:hAnsi="Verdana" w:cs="Arial"/>
          <w:lang w:val="en-GB"/>
        </w:rPr>
      </w:pPr>
      <w:r w:rsidRPr="00F47DB2">
        <w:rPr>
          <w:rFonts w:ascii="Verdana" w:hAnsi="Verdana" w:cs="Arial"/>
          <w:lang w:val="en-GB"/>
        </w:rPr>
        <w:t xml:space="preserve">3. </w:t>
      </w:r>
      <w:r w:rsidR="00F47DB2" w:rsidRPr="00F47DB2">
        <w:rPr>
          <w:rFonts w:ascii="Verdana" w:hAnsi="Verdana" w:cs="Arial"/>
          <w:lang w:val="en-GB"/>
        </w:rPr>
        <w:t>Substances that are classified in</w:t>
      </w:r>
      <w:r w:rsidRPr="00F47DB2">
        <w:rPr>
          <w:rFonts w:ascii="Verdana" w:hAnsi="Verdana" w:cs="Arial"/>
          <w:lang w:val="en-GB"/>
        </w:rPr>
        <w:t xml:space="preserve"> TRGS 905</w:t>
      </w:r>
      <w:r w:rsidRPr="000D4E82">
        <w:rPr>
          <w:rFonts w:ascii="Verdana" w:hAnsi="Verdana" w:cs="Arial"/>
          <w:vertAlign w:val="superscript"/>
        </w:rPr>
        <w:footnoteReference w:id="3"/>
      </w:r>
      <w:r w:rsidR="00F47DB2">
        <w:rPr>
          <w:rFonts w:ascii="Verdana" w:hAnsi="Verdana" w:cs="Arial"/>
          <w:lang w:val="en-GB"/>
        </w:rPr>
        <w:t xml:space="preserve"> as</w:t>
      </w:r>
      <w:r w:rsidRPr="00F47DB2">
        <w:rPr>
          <w:rFonts w:ascii="Verdana" w:hAnsi="Verdana" w:cs="Arial"/>
          <w:lang w:val="en-GB"/>
        </w:rPr>
        <w:t>:</w:t>
      </w:r>
    </w:p>
    <w:p w:rsidR="00A83B77" w:rsidRPr="000D4E82" w:rsidRDefault="00F47DB2" w:rsidP="00A83B77">
      <w:pPr>
        <w:numPr>
          <w:ilvl w:val="0"/>
          <w:numId w:val="16"/>
        </w:numPr>
        <w:spacing w:line="276" w:lineRule="auto"/>
        <w:textAlignment w:val="auto"/>
        <w:rPr>
          <w:rFonts w:ascii="Verdana" w:hAnsi="Verdana"/>
        </w:rPr>
      </w:pPr>
      <w:proofErr w:type="spellStart"/>
      <w:r>
        <w:rPr>
          <w:rFonts w:ascii="Verdana" w:hAnsi="Verdana"/>
        </w:rPr>
        <w:t>carcinogenic</w:t>
      </w:r>
      <w:proofErr w:type="spellEnd"/>
      <w:r w:rsidR="00A83B77" w:rsidRPr="000D4E82">
        <w:rPr>
          <w:rFonts w:ascii="Verdana" w:hAnsi="Verdana"/>
        </w:rPr>
        <w:t xml:space="preserve"> (K1, K2)</w:t>
      </w:r>
    </w:p>
    <w:p w:rsidR="00A83B77" w:rsidRPr="000D4E82" w:rsidRDefault="00F47DB2" w:rsidP="00A83B77">
      <w:pPr>
        <w:numPr>
          <w:ilvl w:val="0"/>
          <w:numId w:val="16"/>
        </w:numPr>
        <w:spacing w:line="276" w:lineRule="auto"/>
        <w:textAlignment w:val="auto"/>
        <w:rPr>
          <w:rFonts w:ascii="Verdana" w:hAnsi="Verdana"/>
        </w:rPr>
      </w:pPr>
      <w:proofErr w:type="spellStart"/>
      <w:r>
        <w:rPr>
          <w:rFonts w:ascii="Verdana" w:hAnsi="Verdana"/>
        </w:rPr>
        <w:t>mutagenic</w:t>
      </w:r>
      <w:proofErr w:type="spellEnd"/>
      <w:r w:rsidR="00A83B77" w:rsidRPr="000D4E82">
        <w:rPr>
          <w:rFonts w:ascii="Verdana" w:hAnsi="Verdana"/>
        </w:rPr>
        <w:t xml:space="preserve"> (M1, M2)</w:t>
      </w:r>
    </w:p>
    <w:p w:rsidR="00A83B77" w:rsidRPr="00EF6138" w:rsidRDefault="00EF6138" w:rsidP="00A83B77">
      <w:pPr>
        <w:numPr>
          <w:ilvl w:val="0"/>
          <w:numId w:val="16"/>
        </w:numPr>
        <w:spacing w:line="276" w:lineRule="auto"/>
        <w:textAlignment w:val="auto"/>
        <w:rPr>
          <w:rFonts w:ascii="Verdana" w:hAnsi="Verdana"/>
          <w:lang w:val="en-GB"/>
        </w:rPr>
      </w:pPr>
      <w:r w:rsidRPr="00EF6138">
        <w:rPr>
          <w:rFonts w:ascii="Verdana" w:hAnsi="Verdana"/>
          <w:lang w:val="en-GB"/>
        </w:rPr>
        <w:t>reprotoxic</w:t>
      </w:r>
      <w:r w:rsidR="00A83B77" w:rsidRPr="00EF6138">
        <w:rPr>
          <w:rFonts w:ascii="Verdana" w:hAnsi="Verdana"/>
          <w:lang w:val="en-GB"/>
        </w:rPr>
        <w:t xml:space="preserve"> (R</w:t>
      </w:r>
      <w:r w:rsidR="00A83B77" w:rsidRPr="00EF6138">
        <w:rPr>
          <w:rFonts w:ascii="Verdana" w:hAnsi="Verdana"/>
          <w:vertAlign w:val="subscript"/>
          <w:lang w:val="en-GB"/>
        </w:rPr>
        <w:t>F</w:t>
      </w:r>
      <w:r w:rsidR="00A83B77" w:rsidRPr="00EF6138">
        <w:rPr>
          <w:rFonts w:ascii="Verdana" w:hAnsi="Verdana"/>
          <w:lang w:val="en-GB"/>
        </w:rPr>
        <w:t>1, R</w:t>
      </w:r>
      <w:r w:rsidR="00A83B77" w:rsidRPr="00EF6138">
        <w:rPr>
          <w:rFonts w:ascii="Verdana" w:hAnsi="Verdana"/>
          <w:vertAlign w:val="subscript"/>
          <w:lang w:val="en-GB"/>
        </w:rPr>
        <w:t>F</w:t>
      </w:r>
      <w:r w:rsidR="00A83B77" w:rsidRPr="00EF6138">
        <w:rPr>
          <w:rFonts w:ascii="Verdana" w:hAnsi="Verdana"/>
          <w:lang w:val="en-GB"/>
        </w:rPr>
        <w:t>2</w:t>
      </w:r>
      <w:r w:rsidRPr="00EF6138">
        <w:rPr>
          <w:rFonts w:ascii="Verdana" w:hAnsi="Verdana"/>
          <w:lang w:val="en-GB"/>
        </w:rPr>
        <w:t xml:space="preserve">, </w:t>
      </w:r>
      <w:r w:rsidRPr="00EF6138">
        <w:rPr>
          <w:rFonts w:ascii="Verdana" w:hAnsi="Verdana"/>
          <w:lang w:val="en-GB"/>
        </w:rPr>
        <w:t>R</w:t>
      </w:r>
      <w:r w:rsidRPr="00EF6138">
        <w:rPr>
          <w:rFonts w:ascii="Verdana" w:hAnsi="Verdana"/>
          <w:vertAlign w:val="subscript"/>
          <w:lang w:val="en-GB"/>
        </w:rPr>
        <w:t>E</w:t>
      </w:r>
      <w:r w:rsidRPr="00EF6138">
        <w:rPr>
          <w:rFonts w:ascii="Verdana" w:hAnsi="Verdana"/>
          <w:lang w:val="en-GB"/>
        </w:rPr>
        <w:t>1, R</w:t>
      </w:r>
      <w:r w:rsidRPr="00EF6138">
        <w:rPr>
          <w:rFonts w:ascii="Verdana" w:hAnsi="Verdana"/>
          <w:vertAlign w:val="subscript"/>
          <w:lang w:val="en-GB"/>
        </w:rPr>
        <w:t>E</w:t>
      </w:r>
      <w:r w:rsidRPr="00EF6138">
        <w:rPr>
          <w:rFonts w:ascii="Verdana" w:hAnsi="Verdana"/>
          <w:lang w:val="en-GB"/>
        </w:rPr>
        <w:t>2</w:t>
      </w:r>
      <w:r w:rsidR="00A83B77" w:rsidRPr="00EF6138">
        <w:rPr>
          <w:rFonts w:ascii="Verdana" w:hAnsi="Verdana"/>
          <w:lang w:val="en-GB"/>
        </w:rPr>
        <w:t>)</w:t>
      </w:r>
    </w:p>
    <w:p w:rsidR="00A83B77" w:rsidRDefault="00A83B77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b/>
        </w:rPr>
      </w:pPr>
    </w:p>
    <w:p w:rsidR="00A83B77" w:rsidRDefault="00A83B77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b/>
        </w:rPr>
      </w:pPr>
    </w:p>
    <w:p w:rsidR="003A0347" w:rsidRDefault="003A0347">
      <w:pPr>
        <w:overflowPunct/>
        <w:autoSpaceDE/>
        <w:autoSpaceDN/>
        <w:adjustRightInd/>
        <w:textAlignment w:val="auto"/>
        <w:rPr>
          <w:rFonts w:ascii="Arial" w:hAnsi="Arial"/>
          <w:b/>
          <w:sz w:val="22"/>
        </w:rPr>
      </w:pPr>
    </w:p>
    <w:p w:rsidR="0071209B" w:rsidRPr="00DB2D6B" w:rsidRDefault="0018371C" w:rsidP="00520B6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rFonts w:ascii="Verdana" w:hAnsi="Verdana"/>
          <w:b/>
          <w:sz w:val="20"/>
          <w:lang w:val="en-GB"/>
        </w:rPr>
      </w:pPr>
      <w:r w:rsidRPr="00DB2D6B">
        <w:rPr>
          <w:rFonts w:ascii="Verdana" w:hAnsi="Verdana"/>
          <w:b/>
          <w:sz w:val="20"/>
          <w:lang w:val="en-GB"/>
        </w:rPr>
        <w:t xml:space="preserve">3.4 </w:t>
      </w:r>
      <w:r w:rsidR="00DB2D6B" w:rsidRPr="00DB2D6B">
        <w:rPr>
          <w:rFonts w:ascii="Verdana" w:hAnsi="Verdana"/>
          <w:b/>
          <w:sz w:val="20"/>
          <w:lang w:val="en-GB"/>
        </w:rPr>
        <w:t>Recycling and disposal</w:t>
      </w:r>
    </w:p>
    <w:p w:rsidR="001624C8" w:rsidRPr="00DB2D6B" w:rsidRDefault="00DB2D6B" w:rsidP="00520B6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rFonts w:ascii="Verdana" w:hAnsi="Verdana"/>
          <w:sz w:val="20"/>
          <w:lang w:val="en-GB"/>
        </w:rPr>
      </w:pPr>
      <w:r w:rsidRPr="00DB2D6B">
        <w:rPr>
          <w:rFonts w:ascii="Verdana" w:hAnsi="Verdana"/>
          <w:sz w:val="20"/>
          <w:lang w:val="en-GB"/>
        </w:rPr>
        <w:t>It is hereby declared that the adhesives do not contain any halogenated organic compounds. This does not apply to biocides that are used solely for in-can preservation in waterborne adhesives and adhesives based on waterborne dispersions.</w:t>
      </w:r>
      <w:r w:rsidR="0018371C" w:rsidRPr="00DB2D6B">
        <w:rPr>
          <w:rFonts w:ascii="Verdana" w:hAnsi="Verdana"/>
          <w:sz w:val="20"/>
          <w:lang w:val="en-GB"/>
        </w:rPr>
        <w:tab/>
      </w:r>
      <w:r w:rsidR="0018371C" w:rsidRPr="00DB2D6B">
        <w:rPr>
          <w:rFonts w:ascii="Verdana" w:hAnsi="Verdana"/>
          <w:sz w:val="20"/>
          <w:lang w:val="en-GB"/>
        </w:rPr>
        <w:tab/>
      </w:r>
      <w:r w:rsidR="0018371C" w:rsidRPr="00DB2D6B">
        <w:rPr>
          <w:rFonts w:ascii="Verdana" w:hAnsi="Verdana"/>
          <w:sz w:val="20"/>
          <w:lang w:val="en-GB"/>
        </w:rPr>
        <w:tab/>
      </w:r>
      <w:r w:rsidR="0018371C" w:rsidRPr="00DB2D6B">
        <w:rPr>
          <w:rFonts w:ascii="Verdana" w:hAnsi="Verdana"/>
          <w:sz w:val="20"/>
          <w:lang w:val="en-GB"/>
        </w:rPr>
        <w:tab/>
      </w:r>
      <w:r w:rsidR="0018371C" w:rsidRPr="00DB2D6B">
        <w:rPr>
          <w:rFonts w:ascii="Verdana" w:hAnsi="Verdana"/>
          <w:sz w:val="20"/>
          <w:lang w:val="en-GB"/>
        </w:rPr>
        <w:tab/>
      </w:r>
      <w:r w:rsidR="0018371C" w:rsidRPr="00DB2D6B">
        <w:rPr>
          <w:rFonts w:ascii="Verdana" w:hAnsi="Verdana"/>
          <w:sz w:val="20"/>
          <w:lang w:val="en-GB"/>
        </w:rPr>
        <w:tab/>
      </w:r>
      <w:r w:rsidR="001624C8" w:rsidRPr="00DB2D6B">
        <w:rPr>
          <w:rFonts w:ascii="Verdana" w:hAnsi="Verdana"/>
          <w:sz w:val="20"/>
          <w:lang w:val="en-GB"/>
        </w:rPr>
        <w:tab/>
      </w:r>
    </w:p>
    <w:p w:rsidR="00520B6A" w:rsidRPr="00DB2D6B" w:rsidRDefault="00520B6A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rFonts w:ascii="Verdana" w:hAnsi="Verdana"/>
          <w:sz w:val="20"/>
          <w:lang w:val="en-GB"/>
        </w:rPr>
      </w:pPr>
    </w:p>
    <w:p w:rsidR="00AA6C76" w:rsidRPr="00DB2D6B" w:rsidRDefault="00AA6C76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rFonts w:ascii="Verdana" w:hAnsi="Verdana"/>
          <w:i/>
          <w:sz w:val="20"/>
          <w:lang w:val="en-GB"/>
        </w:rPr>
      </w:pPr>
    </w:p>
    <w:p w:rsidR="00AA6C76" w:rsidRPr="00DB2D6B" w:rsidRDefault="00AA6C76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rFonts w:ascii="Verdana" w:hAnsi="Verdana"/>
          <w:i/>
          <w:sz w:val="20"/>
          <w:lang w:val="en-GB"/>
        </w:rPr>
      </w:pPr>
    </w:p>
    <w:p w:rsidR="00AA6C76" w:rsidRPr="00DB2D6B" w:rsidRDefault="00AA6C76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rFonts w:ascii="Verdana" w:hAnsi="Verdana"/>
          <w:i/>
          <w:sz w:val="20"/>
          <w:lang w:val="en-GB"/>
        </w:rPr>
      </w:pPr>
    </w:p>
    <w:p w:rsidR="00AA6C76" w:rsidRPr="00DB2D6B" w:rsidRDefault="00AA6C76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rFonts w:ascii="Verdana" w:hAnsi="Verdana"/>
          <w:i/>
          <w:sz w:val="20"/>
          <w:lang w:val="en-GB"/>
        </w:rPr>
      </w:pPr>
    </w:p>
    <w:p w:rsidR="00AA6C76" w:rsidRPr="00DB2D6B" w:rsidRDefault="00AA6C76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rFonts w:ascii="Verdana" w:hAnsi="Verdana"/>
          <w:i/>
          <w:sz w:val="20"/>
          <w:lang w:val="en-GB"/>
        </w:rPr>
      </w:pPr>
    </w:p>
    <w:p w:rsidR="00AA6C76" w:rsidRPr="00DB2D6B" w:rsidRDefault="00AA6C76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rFonts w:ascii="Verdana" w:hAnsi="Verdana"/>
          <w:i/>
          <w:sz w:val="20"/>
          <w:lang w:val="en-GB"/>
        </w:rPr>
      </w:pPr>
    </w:p>
    <w:p w:rsidR="00AA6C76" w:rsidRPr="00DB2D6B" w:rsidRDefault="00AA6C76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rFonts w:ascii="Verdana" w:hAnsi="Verdana"/>
          <w:i/>
          <w:sz w:val="20"/>
          <w:lang w:val="en-GB"/>
        </w:rPr>
      </w:pPr>
    </w:p>
    <w:p w:rsidR="00AA6C76" w:rsidRPr="00DB2D6B" w:rsidRDefault="00AA6C76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rFonts w:ascii="Verdana" w:hAnsi="Verdana"/>
          <w:i/>
          <w:sz w:val="20"/>
          <w:lang w:val="en-GB"/>
        </w:rPr>
      </w:pPr>
    </w:p>
    <w:p w:rsidR="0020607C" w:rsidRPr="00DB2D6B" w:rsidRDefault="0020607C" w:rsidP="0020607C">
      <w:pPr>
        <w:pStyle w:val="StichpunkteunterStandard"/>
        <w:numPr>
          <w:ilvl w:val="0"/>
          <w:numId w:val="0"/>
        </w:numPr>
        <w:ind w:left="907" w:hanging="170"/>
        <w:rPr>
          <w:rFonts w:ascii="Verdana" w:hAnsi="Verdana"/>
          <w:sz w:val="20"/>
          <w:lang w:val="en-GB"/>
        </w:rPr>
      </w:pPr>
    </w:p>
    <w:p w:rsidR="0020607C" w:rsidRPr="00DB2D6B" w:rsidRDefault="0020607C" w:rsidP="0020607C">
      <w:pPr>
        <w:pStyle w:val="StichpunkteunterStandard"/>
        <w:numPr>
          <w:ilvl w:val="0"/>
          <w:numId w:val="0"/>
        </w:numPr>
        <w:ind w:left="907" w:hanging="170"/>
        <w:rPr>
          <w:rFonts w:ascii="Verdana" w:hAnsi="Verdana"/>
          <w:sz w:val="20"/>
          <w:lang w:val="en-GB"/>
        </w:rPr>
      </w:pPr>
    </w:p>
    <w:p w:rsidR="009B4CE7" w:rsidRPr="00833BE3" w:rsidRDefault="009B4CE7" w:rsidP="009B4CE7">
      <w:pPr>
        <w:tabs>
          <w:tab w:val="left" w:pos="851"/>
        </w:tabs>
        <w:ind w:left="5245" w:hanging="5245"/>
        <w:rPr>
          <w:rFonts w:ascii="Verdana" w:hAnsi="Verdana"/>
        </w:rPr>
      </w:pPr>
      <w:r w:rsidRPr="00833BE3">
        <w:rPr>
          <w:rFonts w:ascii="Verdana" w:hAnsi="Verdana"/>
        </w:rPr>
        <w:t>Ort:</w:t>
      </w:r>
      <w:r w:rsidRPr="00833BE3">
        <w:rPr>
          <w:rFonts w:ascii="Verdana" w:hAnsi="Verdana"/>
        </w:rPr>
        <w:tab/>
      </w:r>
      <w:r w:rsidRPr="00833BE3">
        <w:rPr>
          <w:rFonts w:ascii="Verdana" w:hAnsi="Verdana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0" w:name="Text1"/>
      <w:r w:rsidRPr="00833BE3">
        <w:rPr>
          <w:rFonts w:ascii="Verdana" w:hAnsi="Verdana"/>
        </w:rPr>
        <w:instrText xml:space="preserve"> FORMTEXT </w:instrText>
      </w:r>
      <w:r w:rsidRPr="00833BE3">
        <w:rPr>
          <w:rFonts w:ascii="Verdana" w:hAnsi="Verdana"/>
        </w:rPr>
      </w:r>
      <w:r w:rsidRPr="00833BE3">
        <w:rPr>
          <w:rFonts w:ascii="Verdana" w:hAnsi="Verdana"/>
        </w:rPr>
        <w:fldChar w:fldCharType="separate"/>
      </w:r>
      <w:bookmarkStart w:id="1" w:name="_GoBack"/>
      <w:r w:rsidR="00C521C3" w:rsidRPr="00833BE3">
        <w:rPr>
          <w:rFonts w:ascii="Verdana" w:hAnsi="Verdana"/>
        </w:rPr>
        <w:t> </w:t>
      </w:r>
      <w:r w:rsidR="00C521C3" w:rsidRPr="00833BE3">
        <w:rPr>
          <w:rFonts w:ascii="Verdana" w:hAnsi="Verdana"/>
        </w:rPr>
        <w:t> </w:t>
      </w:r>
      <w:r w:rsidR="00C521C3" w:rsidRPr="00833BE3">
        <w:rPr>
          <w:rFonts w:ascii="Verdana" w:hAnsi="Verdana"/>
        </w:rPr>
        <w:t> </w:t>
      </w:r>
      <w:r w:rsidR="00C521C3" w:rsidRPr="00833BE3">
        <w:rPr>
          <w:rFonts w:ascii="Verdana" w:hAnsi="Verdana"/>
        </w:rPr>
        <w:t> </w:t>
      </w:r>
      <w:r w:rsidR="00C521C3" w:rsidRPr="00833BE3">
        <w:rPr>
          <w:rFonts w:ascii="Verdana" w:hAnsi="Verdana"/>
        </w:rPr>
        <w:t> </w:t>
      </w:r>
      <w:bookmarkEnd w:id="1"/>
      <w:r w:rsidRPr="00833BE3">
        <w:rPr>
          <w:rFonts w:ascii="Verdana" w:hAnsi="Verdana"/>
        </w:rPr>
        <w:fldChar w:fldCharType="end"/>
      </w:r>
      <w:bookmarkEnd w:id="0"/>
      <w:r w:rsidRPr="00833BE3">
        <w:rPr>
          <w:rFonts w:ascii="Verdana" w:hAnsi="Verdana"/>
        </w:rPr>
        <w:tab/>
      </w:r>
    </w:p>
    <w:p w:rsidR="009B4CE7" w:rsidRPr="00833BE3" w:rsidRDefault="009B4CE7" w:rsidP="009B4CE7">
      <w:pPr>
        <w:tabs>
          <w:tab w:val="left" w:pos="851"/>
        </w:tabs>
        <w:ind w:left="5245" w:hanging="5245"/>
        <w:rPr>
          <w:rFonts w:ascii="Verdana" w:hAnsi="Verdana"/>
        </w:rPr>
      </w:pPr>
      <w:r w:rsidRPr="00833BE3">
        <w:rPr>
          <w:rFonts w:ascii="Verdana" w:hAnsi="Verdana"/>
        </w:rPr>
        <w:t>Datum:</w:t>
      </w:r>
      <w:r w:rsidRPr="00833BE3">
        <w:rPr>
          <w:rFonts w:ascii="Verdana" w:hAnsi="Verdana"/>
        </w:rPr>
        <w:tab/>
      </w:r>
      <w:r w:rsidRPr="00833BE3">
        <w:rPr>
          <w:rFonts w:ascii="Verdana" w:hAnsi="Verdana"/>
        </w:rPr>
        <w:fldChar w:fldCharType="begin">
          <w:ffData>
            <w:name w:val="Text2"/>
            <w:enabled/>
            <w:calcOnExit w:val="0"/>
            <w:textInput>
              <w:maxLength w:val="15"/>
            </w:textInput>
          </w:ffData>
        </w:fldChar>
      </w:r>
      <w:bookmarkStart w:id="2" w:name="Text2"/>
      <w:r w:rsidRPr="00833BE3">
        <w:rPr>
          <w:rFonts w:ascii="Verdana" w:hAnsi="Verdana"/>
        </w:rPr>
        <w:instrText xml:space="preserve"> FORMTEXT </w:instrText>
      </w:r>
      <w:r w:rsidRPr="00833BE3">
        <w:rPr>
          <w:rFonts w:ascii="Verdana" w:hAnsi="Verdana"/>
        </w:rPr>
      </w:r>
      <w:r w:rsidRPr="00833BE3">
        <w:rPr>
          <w:rFonts w:ascii="Verdana" w:hAnsi="Verdana"/>
        </w:rPr>
        <w:fldChar w:fldCharType="separate"/>
      </w:r>
      <w:r w:rsidR="001363B8" w:rsidRPr="00833BE3">
        <w:rPr>
          <w:rFonts w:ascii="Verdana" w:hAnsi="Verdana"/>
          <w:noProof/>
        </w:rPr>
        <w:t> </w:t>
      </w:r>
      <w:r w:rsidR="001363B8" w:rsidRPr="00833BE3">
        <w:rPr>
          <w:rFonts w:ascii="Verdana" w:hAnsi="Verdana"/>
          <w:noProof/>
        </w:rPr>
        <w:t> </w:t>
      </w:r>
      <w:r w:rsidR="001363B8" w:rsidRPr="00833BE3">
        <w:rPr>
          <w:rFonts w:ascii="Verdana" w:hAnsi="Verdana"/>
          <w:noProof/>
        </w:rPr>
        <w:t> </w:t>
      </w:r>
      <w:r w:rsidR="001363B8" w:rsidRPr="00833BE3">
        <w:rPr>
          <w:rFonts w:ascii="Verdana" w:hAnsi="Verdana"/>
          <w:noProof/>
        </w:rPr>
        <w:t> </w:t>
      </w:r>
      <w:r w:rsidR="001363B8" w:rsidRPr="00833BE3">
        <w:rPr>
          <w:rFonts w:ascii="Verdana" w:hAnsi="Verdana"/>
          <w:noProof/>
        </w:rPr>
        <w:t> </w:t>
      </w:r>
      <w:r w:rsidRPr="00833BE3">
        <w:rPr>
          <w:rFonts w:ascii="Verdana" w:hAnsi="Verdana"/>
        </w:rPr>
        <w:fldChar w:fldCharType="end"/>
      </w:r>
      <w:bookmarkEnd w:id="2"/>
      <w:r w:rsidRPr="00833BE3">
        <w:rPr>
          <w:rFonts w:ascii="Verdana" w:hAnsi="Verdana"/>
        </w:rPr>
        <w:tab/>
      </w:r>
      <w:r w:rsidR="003A0347" w:rsidRPr="00833BE3">
        <w:rPr>
          <w:rFonts w:ascii="Verdana" w:hAnsi="Verdana"/>
        </w:rPr>
        <w:t>R</w:t>
      </w:r>
      <w:r w:rsidRPr="00833BE3">
        <w:rPr>
          <w:rFonts w:ascii="Verdana" w:hAnsi="Verdana"/>
        </w:rPr>
        <w:t>echtsverbindliche Unter-</w:t>
      </w:r>
    </w:p>
    <w:p w:rsidR="00D41A9A" w:rsidRPr="00833BE3" w:rsidRDefault="009B4CE7" w:rsidP="009B4CE7">
      <w:pPr>
        <w:tabs>
          <w:tab w:val="left" w:pos="851"/>
        </w:tabs>
        <w:ind w:left="5245" w:hanging="5245"/>
        <w:rPr>
          <w:rFonts w:ascii="Verdana" w:hAnsi="Verdana"/>
        </w:rPr>
      </w:pPr>
      <w:r w:rsidRPr="00833BE3">
        <w:rPr>
          <w:rFonts w:ascii="Verdana" w:hAnsi="Verdana"/>
        </w:rPr>
        <w:tab/>
      </w:r>
      <w:r w:rsidRPr="00833BE3">
        <w:rPr>
          <w:rFonts w:ascii="Verdana" w:hAnsi="Verdana"/>
        </w:rPr>
        <w:tab/>
        <w:t>schrift und Firmenstempe</w:t>
      </w:r>
      <w:r w:rsidR="003A0347" w:rsidRPr="00833BE3">
        <w:rPr>
          <w:rFonts w:ascii="Verdana" w:hAnsi="Verdana"/>
        </w:rPr>
        <w:t>l des Herstellers/Lieferanten</w:t>
      </w:r>
    </w:p>
    <w:sectPr w:rsidR="00D41A9A" w:rsidRPr="00833BE3" w:rsidSect="00A83B77">
      <w:headerReference w:type="default" r:id="rId8"/>
      <w:footerReference w:type="default" r:id="rId9"/>
      <w:type w:val="continuous"/>
      <w:pgSz w:w="11907" w:h="16840" w:code="9"/>
      <w:pgMar w:top="1531" w:right="170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756" w:rsidRDefault="006A3756">
      <w:r>
        <w:separator/>
      </w:r>
    </w:p>
  </w:endnote>
  <w:endnote w:type="continuationSeparator" w:id="0">
    <w:p w:rsidR="006A3756" w:rsidRDefault="006A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5D9" w:rsidRPr="00DB2D6B" w:rsidRDefault="005D45D9">
    <w:pPr>
      <w:pStyle w:val="Fuzeile"/>
      <w:rPr>
        <w:lang w:val="en-GB"/>
      </w:rPr>
    </w:pPr>
    <w:r w:rsidRPr="00DB2D6B">
      <w:rPr>
        <w:rFonts w:ascii="Arial" w:hAnsi="Arial"/>
        <w:sz w:val="22"/>
        <w:lang w:val="en-GB"/>
      </w:rPr>
      <w:t>An</w:t>
    </w:r>
    <w:r w:rsidR="00DB2D6B" w:rsidRPr="00DB2D6B">
      <w:rPr>
        <w:rFonts w:ascii="Arial" w:hAnsi="Arial"/>
        <w:sz w:val="22"/>
        <w:lang w:val="en-GB"/>
      </w:rPr>
      <w:t>nex</w:t>
    </w:r>
    <w:r w:rsidRPr="00DB2D6B">
      <w:rPr>
        <w:rFonts w:ascii="Arial" w:hAnsi="Arial"/>
        <w:sz w:val="22"/>
        <w:lang w:val="en-GB"/>
      </w:rPr>
      <w:t xml:space="preserve"> </w:t>
    </w:r>
    <w:r w:rsidR="00AA6C76" w:rsidRPr="00DB2D6B">
      <w:rPr>
        <w:rFonts w:ascii="Arial" w:hAnsi="Arial"/>
        <w:sz w:val="22"/>
        <w:lang w:val="en-GB"/>
      </w:rPr>
      <w:t>5</w:t>
    </w:r>
    <w:r w:rsidRPr="00DB2D6B">
      <w:rPr>
        <w:rFonts w:ascii="Arial" w:hAnsi="Arial"/>
        <w:sz w:val="22"/>
        <w:lang w:val="en-GB"/>
      </w:rPr>
      <w:t xml:space="preserve"> </w:t>
    </w:r>
    <w:r w:rsidR="00DB2D6B" w:rsidRPr="00DB2D6B">
      <w:rPr>
        <w:rFonts w:ascii="Arial" w:hAnsi="Arial"/>
        <w:sz w:val="22"/>
        <w:lang w:val="en-GB"/>
      </w:rPr>
      <w:t>to the con</w:t>
    </w:r>
    <w:r w:rsidR="00DB2D6B">
      <w:rPr>
        <w:rFonts w:ascii="Arial" w:hAnsi="Arial"/>
        <w:sz w:val="22"/>
        <w:lang w:val="en-GB"/>
      </w:rPr>
      <w:t>tract</w:t>
    </w:r>
    <w:r w:rsidRPr="00DB2D6B">
      <w:rPr>
        <w:rFonts w:ascii="Arial" w:hAnsi="Arial"/>
        <w:sz w:val="22"/>
        <w:lang w:val="en-GB"/>
      </w:rPr>
      <w:tab/>
    </w:r>
    <w:r>
      <w:rPr>
        <w:rStyle w:val="Seitenzahl"/>
        <w:rFonts w:ascii="Arial" w:hAnsi="Arial"/>
        <w:sz w:val="22"/>
      </w:rPr>
      <w:fldChar w:fldCharType="begin"/>
    </w:r>
    <w:r w:rsidRPr="00DB2D6B">
      <w:rPr>
        <w:rStyle w:val="Seitenzahl"/>
        <w:rFonts w:ascii="Arial" w:hAnsi="Arial"/>
        <w:sz w:val="22"/>
        <w:lang w:val="en-GB"/>
      </w:rPr>
      <w:instrText xml:space="preserve"> PAGE </w:instrText>
    </w:r>
    <w:r>
      <w:rPr>
        <w:rStyle w:val="Seitenzahl"/>
        <w:rFonts w:ascii="Arial" w:hAnsi="Arial"/>
        <w:sz w:val="22"/>
      </w:rPr>
      <w:fldChar w:fldCharType="separate"/>
    </w:r>
    <w:r w:rsidR="00172D98" w:rsidRPr="00DB2D6B">
      <w:rPr>
        <w:rStyle w:val="Seitenzahl"/>
        <w:rFonts w:ascii="Arial" w:hAnsi="Arial"/>
        <w:noProof/>
        <w:sz w:val="22"/>
        <w:lang w:val="en-GB"/>
      </w:rPr>
      <w:t>1</w:t>
    </w:r>
    <w:r>
      <w:rPr>
        <w:rStyle w:val="Seitenzahl"/>
        <w:rFonts w:ascii="Arial" w:hAnsi="Arial"/>
        <w:sz w:val="22"/>
      </w:rPr>
      <w:fldChar w:fldCharType="end"/>
    </w:r>
    <w:r w:rsidRPr="00DB2D6B">
      <w:rPr>
        <w:rFonts w:ascii="Arial" w:hAnsi="Arial"/>
        <w:sz w:val="22"/>
        <w:lang w:val="en-GB"/>
      </w:rPr>
      <w:t>/</w:t>
    </w:r>
    <w:r w:rsidR="00AA6C76" w:rsidRPr="00DB2D6B">
      <w:rPr>
        <w:rFonts w:ascii="Arial" w:hAnsi="Arial"/>
        <w:sz w:val="22"/>
        <w:lang w:val="en-GB"/>
      </w:rPr>
      <w:t>2</w:t>
    </w:r>
    <w:r w:rsidRPr="00DB2D6B">
      <w:rPr>
        <w:rFonts w:ascii="Arial" w:hAnsi="Arial"/>
        <w:sz w:val="22"/>
        <w:lang w:val="en-GB"/>
      </w:rPr>
      <w:tab/>
    </w:r>
    <w:r w:rsidR="00C521C3" w:rsidRPr="00DB2D6B">
      <w:rPr>
        <w:rFonts w:ascii="Arial" w:hAnsi="Arial"/>
        <w:sz w:val="22"/>
        <w:lang w:val="en-GB"/>
      </w:rPr>
      <w:t>DE-UZ</w:t>
    </w:r>
    <w:r w:rsidRPr="00DB2D6B">
      <w:rPr>
        <w:rFonts w:ascii="Arial" w:hAnsi="Arial"/>
        <w:sz w:val="22"/>
        <w:lang w:val="en-GB"/>
      </w:rPr>
      <w:t xml:space="preserve"> 1</w:t>
    </w:r>
    <w:r w:rsidR="008A08B8" w:rsidRPr="00DB2D6B">
      <w:rPr>
        <w:rFonts w:ascii="Arial" w:hAnsi="Arial"/>
        <w:sz w:val="22"/>
        <w:lang w:val="en-GB"/>
      </w:rPr>
      <w:t>19</w:t>
    </w:r>
    <w:r w:rsidR="002C5222" w:rsidRPr="00DB2D6B">
      <w:rPr>
        <w:rFonts w:ascii="Arial" w:hAnsi="Arial"/>
        <w:sz w:val="22"/>
        <w:lang w:val="en-GB"/>
      </w:rPr>
      <w:t xml:space="preserve"> </w:t>
    </w:r>
    <w:r w:rsidR="00DB2D6B">
      <w:rPr>
        <w:rFonts w:ascii="Arial" w:hAnsi="Arial"/>
        <w:sz w:val="22"/>
        <w:lang w:val="en-GB"/>
      </w:rPr>
      <w:t>Version</w:t>
    </w:r>
    <w:r w:rsidR="002C5222" w:rsidRPr="00DB2D6B">
      <w:rPr>
        <w:rFonts w:ascii="Arial" w:hAnsi="Arial"/>
        <w:sz w:val="22"/>
        <w:lang w:val="en-GB"/>
      </w:rPr>
      <w:t xml:space="preserve"> </w:t>
    </w:r>
    <w:r w:rsidR="00DB2D6B">
      <w:rPr>
        <w:rFonts w:ascii="Arial" w:hAnsi="Arial"/>
        <w:sz w:val="22"/>
        <w:lang w:val="en-GB"/>
      </w:rPr>
      <w:t>January</w:t>
    </w:r>
    <w:r w:rsidRPr="00DB2D6B">
      <w:rPr>
        <w:rFonts w:ascii="Arial" w:hAnsi="Arial"/>
        <w:sz w:val="22"/>
        <w:lang w:val="en-GB"/>
      </w:rPr>
      <w:t xml:space="preserve"> 201</w:t>
    </w:r>
    <w:r w:rsidR="002C5222" w:rsidRPr="00DB2D6B">
      <w:rPr>
        <w:rFonts w:ascii="Arial" w:hAnsi="Arial"/>
        <w:sz w:val="22"/>
        <w:lang w:val="en-GB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756" w:rsidRDefault="006A3756">
      <w:r>
        <w:separator/>
      </w:r>
    </w:p>
  </w:footnote>
  <w:footnote w:type="continuationSeparator" w:id="0">
    <w:p w:rsidR="006A3756" w:rsidRDefault="006A3756">
      <w:r>
        <w:continuationSeparator/>
      </w:r>
    </w:p>
  </w:footnote>
  <w:footnote w:id="1">
    <w:p w:rsidR="000B2EA7" w:rsidRPr="000B2EA7" w:rsidRDefault="000B2EA7" w:rsidP="000B2EA7">
      <w:pPr>
        <w:pStyle w:val="Funotentext"/>
        <w:rPr>
          <w:lang w:val="en-GB"/>
        </w:rPr>
      </w:pPr>
      <w:r w:rsidRPr="000B2EA7">
        <w:rPr>
          <w:rStyle w:val="Funotenzeichen"/>
          <w:rFonts w:ascii="Verdana" w:hAnsi="Verdana"/>
          <w:sz w:val="18"/>
          <w:szCs w:val="18"/>
        </w:rPr>
        <w:footnoteRef/>
      </w:r>
      <w:r w:rsidRPr="000B2EA7">
        <w:rPr>
          <w:rFonts w:ascii="Verdana" w:hAnsi="Verdana"/>
          <w:sz w:val="18"/>
          <w:szCs w:val="18"/>
          <w:lang w:val="en-GB"/>
        </w:rPr>
        <w:t xml:space="preserve"> </w:t>
      </w:r>
      <w:r w:rsidRPr="000B2EA7">
        <w:rPr>
          <w:rFonts w:ascii="Verdana" w:hAnsi="Verdana"/>
          <w:sz w:val="18"/>
          <w:szCs w:val="18"/>
          <w:lang w:val="en-GB"/>
        </w:rPr>
        <w:t>Constituent components are substances added to the product as such or as part of a mixture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r w:rsidRPr="000B2EA7">
        <w:rPr>
          <w:rFonts w:ascii="Verdana" w:hAnsi="Verdana"/>
          <w:sz w:val="18"/>
          <w:szCs w:val="18"/>
          <w:lang w:val="en-GB"/>
        </w:rPr>
        <w:t>in order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r w:rsidRPr="000B2EA7">
        <w:rPr>
          <w:rFonts w:ascii="Verdana" w:hAnsi="Verdana"/>
          <w:sz w:val="18"/>
          <w:szCs w:val="18"/>
          <w:lang w:val="en-GB"/>
        </w:rPr>
        <w:t>to achieve or influence certain product properties and those required as chemical cleavage products for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r w:rsidRPr="000B2EA7">
        <w:rPr>
          <w:rFonts w:ascii="Verdana" w:hAnsi="Verdana"/>
          <w:sz w:val="18"/>
          <w:szCs w:val="18"/>
          <w:lang w:val="en-GB"/>
        </w:rPr>
        <w:t>achieving the product properties. This does not apply to residual monomers that have been reduced to a minimum.</w:t>
      </w:r>
    </w:p>
  </w:footnote>
  <w:footnote w:id="2">
    <w:p w:rsidR="00A83B77" w:rsidRPr="00E8457D" w:rsidRDefault="00A83B77" w:rsidP="000B2EA7">
      <w:pPr>
        <w:pStyle w:val="Funotentext"/>
        <w:rPr>
          <w:rFonts w:ascii="Verdana" w:hAnsi="Verdana"/>
          <w:sz w:val="18"/>
          <w:szCs w:val="18"/>
          <w:lang w:val="en-GB"/>
        </w:rPr>
      </w:pPr>
      <w:r w:rsidRPr="000B2EA7">
        <w:rPr>
          <w:rStyle w:val="Funotenzeichen"/>
          <w:rFonts w:ascii="Verdana" w:hAnsi="Verdana" w:cs="Arial"/>
          <w:sz w:val="18"/>
          <w:szCs w:val="18"/>
        </w:rPr>
        <w:footnoteRef/>
      </w:r>
      <w:r w:rsidR="00E8457D" w:rsidRPr="00E8457D">
        <w:rPr>
          <w:rFonts w:ascii="Verdana" w:hAnsi="Verdana"/>
          <w:sz w:val="18"/>
          <w:szCs w:val="18"/>
          <w:lang w:val="en-GB"/>
        </w:rPr>
        <w:t xml:space="preserve"> </w:t>
      </w:r>
      <w:r w:rsidR="00E8457D">
        <w:rPr>
          <w:rFonts w:ascii="Verdana" w:hAnsi="Verdana"/>
          <w:sz w:val="18"/>
          <w:szCs w:val="18"/>
          <w:lang w:val="en-GB"/>
        </w:rPr>
        <w:t>The version of the list of the candidates as amended at the time of application is valid. It can be found here</w:t>
      </w:r>
      <w:r w:rsidRPr="00E8457D">
        <w:rPr>
          <w:rFonts w:ascii="Verdana" w:hAnsi="Verdana"/>
          <w:sz w:val="18"/>
          <w:szCs w:val="18"/>
          <w:lang w:val="en-GB"/>
        </w:rPr>
        <w:t xml:space="preserve">: </w:t>
      </w:r>
      <w:hyperlink r:id="rId1" w:history="1">
        <w:r w:rsidRPr="00E8457D">
          <w:rPr>
            <w:rStyle w:val="Hyperlink"/>
            <w:rFonts w:ascii="Verdana" w:hAnsi="Verdana" w:cs="Arial"/>
            <w:sz w:val="18"/>
            <w:szCs w:val="18"/>
            <w:lang w:val="en-GB"/>
          </w:rPr>
          <w:t>http://echa.europa.eu/chem_data/authorisation_process/candidate_list_table_en.asp</w:t>
        </w:r>
      </w:hyperlink>
      <w:r w:rsidRPr="00E8457D">
        <w:rPr>
          <w:rFonts w:ascii="Verdana" w:hAnsi="Verdana"/>
          <w:sz w:val="18"/>
          <w:szCs w:val="18"/>
          <w:lang w:val="en-GB"/>
        </w:rPr>
        <w:t>.</w:t>
      </w:r>
    </w:p>
  </w:footnote>
  <w:footnote w:id="3">
    <w:p w:rsidR="00A83B77" w:rsidRPr="00EF6138" w:rsidRDefault="00A83B77" w:rsidP="00A83B77">
      <w:pPr>
        <w:pStyle w:val="Fuzeile"/>
        <w:ind w:left="142" w:hanging="142"/>
        <w:rPr>
          <w:rFonts w:ascii="Verdana" w:hAnsi="Verdana" w:cs="Arial"/>
          <w:sz w:val="18"/>
          <w:szCs w:val="18"/>
          <w:lang w:val="en-GB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Pr="00EF6138">
        <w:rPr>
          <w:rFonts w:ascii="Verdana" w:hAnsi="Verdana" w:cs="Arial"/>
          <w:sz w:val="18"/>
          <w:szCs w:val="18"/>
          <w:lang w:val="en-GB"/>
        </w:rPr>
        <w:t xml:space="preserve"> </w:t>
      </w:r>
      <w:r w:rsidR="00EF6138" w:rsidRPr="00EF6138">
        <w:rPr>
          <w:rFonts w:ascii="Verdana" w:hAnsi="Verdana"/>
          <w:sz w:val="18"/>
          <w:szCs w:val="18"/>
          <w:lang w:val="en-GB"/>
        </w:rPr>
        <w:t xml:space="preserve">TRGS 905, directory of carcinogenic, mutagenic or teratogenic substances from the Committee for Hazardous Substances (AGS): TRGS 905. The current version at the time of application is valid (last amended in June 2017 – version 11/2017). The TRGS lists such CMR substances that have not received harmonised classifications up to now or where the AGS has come to a different classification. The CMR complete list published by the Institute for Occupational Safety and Health of the German Social Accident Insurance can also be used as a reference </w:t>
      </w:r>
      <w:proofErr w:type="spellStart"/>
      <w:r w:rsidR="00EF6138" w:rsidRPr="00EF6138">
        <w:rPr>
          <w:rFonts w:ascii="Verdana" w:hAnsi="Verdana"/>
          <w:sz w:val="18"/>
          <w:szCs w:val="18"/>
          <w:lang w:val="en-GB"/>
        </w:rPr>
        <w:t>tool:</w:t>
      </w:r>
      <w:hyperlink r:id="rId2" w:history="1">
        <w:r w:rsidRPr="00EF6138">
          <w:rPr>
            <w:rStyle w:val="Hyperlink"/>
            <w:rFonts w:ascii="Verdana" w:hAnsi="Verdana" w:cs="Arial"/>
            <w:sz w:val="18"/>
            <w:szCs w:val="18"/>
            <w:lang w:val="en-GB"/>
          </w:rPr>
          <w:t>CMR-Gesamtliste</w:t>
        </w:r>
        <w:proofErr w:type="spellEnd"/>
      </w:hyperlink>
      <w:r w:rsidRPr="00EF6138">
        <w:rPr>
          <w:rFonts w:ascii="Verdana" w:hAnsi="Verdana" w:cs="Arial"/>
          <w:sz w:val="18"/>
          <w:szCs w:val="18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5D9" w:rsidRDefault="00C521C3" w:rsidP="00FE6FA4">
    <w:pPr>
      <w:pStyle w:val="Kopfzeile"/>
      <w:jc w:val="right"/>
    </w:pPr>
    <w:r>
      <w:rPr>
        <w:noProof/>
      </w:rPr>
      <w:drawing>
        <wp:inline distT="0" distB="0" distL="0" distR="0" wp14:anchorId="5ABEBFEB" wp14:editId="62D58571">
          <wp:extent cx="762000" cy="533400"/>
          <wp:effectExtent l="0" t="0" r="0" b="0"/>
          <wp:docPr id="1" name="Bild 3" descr="C:\Users\nicole.markiton\Desktop\RAL_gGmbH_Logo_neu_4C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cole.markiton\Desktop\RAL_gGmbH_Logo_neu_4C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35779"/>
    <w:multiLevelType w:val="hybridMultilevel"/>
    <w:tmpl w:val="7DEAE7AC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2" w15:restartNumberingAfterBreak="0">
    <w:nsid w:val="30B95667"/>
    <w:multiLevelType w:val="hybridMultilevel"/>
    <w:tmpl w:val="0F6AA046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8D55517"/>
    <w:multiLevelType w:val="hybridMultilevel"/>
    <w:tmpl w:val="561E461C"/>
    <w:lvl w:ilvl="0" w:tplc="62105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A16176"/>
    <w:multiLevelType w:val="hybridMultilevel"/>
    <w:tmpl w:val="8D3E2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A73C3"/>
    <w:multiLevelType w:val="hybridMultilevel"/>
    <w:tmpl w:val="6B58A18E"/>
    <w:lvl w:ilvl="0" w:tplc="62105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71631F"/>
    <w:multiLevelType w:val="multilevel"/>
    <w:tmpl w:val="FC96B006"/>
    <w:lvl w:ilvl="0">
      <w:start w:val="1"/>
      <w:numFmt w:val="decimal"/>
      <w:pStyle w:val="Nummerierung"/>
      <w:lvlText w:val="%1."/>
      <w:lvlJc w:val="left"/>
      <w:pPr>
        <w:tabs>
          <w:tab w:val="num" w:pos="1248"/>
        </w:tabs>
        <w:ind w:left="1248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  <w:rPr>
        <w:rFonts w:hint="default"/>
      </w:rPr>
    </w:lvl>
  </w:abstractNum>
  <w:abstractNum w:abstractNumId="7" w15:restartNumberingAfterBreak="0">
    <w:nsid w:val="647A678F"/>
    <w:multiLevelType w:val="hybridMultilevel"/>
    <w:tmpl w:val="012C608A"/>
    <w:lvl w:ilvl="0" w:tplc="ED1E4F20">
      <w:numFmt w:val="bullet"/>
      <w:pStyle w:val="StichpunkteunterStandard"/>
      <w:lvlText w:val="-"/>
      <w:lvlJc w:val="left"/>
      <w:pPr>
        <w:tabs>
          <w:tab w:val="num" w:pos="794"/>
        </w:tabs>
        <w:ind w:left="794" w:hanging="227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329F6"/>
    <w:multiLevelType w:val="hybridMultilevel"/>
    <w:tmpl w:val="BDB43954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D682E"/>
    <w:multiLevelType w:val="hybridMultilevel"/>
    <w:tmpl w:val="4824DB18"/>
    <w:lvl w:ilvl="0" w:tplc="AD2AA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1" w15:restartNumberingAfterBreak="0">
    <w:nsid w:val="7EBF42F6"/>
    <w:multiLevelType w:val="hybridMultilevel"/>
    <w:tmpl w:val="2A765808"/>
    <w:lvl w:ilvl="0" w:tplc="0407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1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P8X6G7Af22bnINjGF1afhiMgDrvZPw3HnQQMPfU+geuQOjvOpu76FEfIrNblir5Ry+Sl5RHPIfifeHg6c5Hnw==" w:salt="CuC91DsZEP98K/3f1jMBm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3DE4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2EA7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63B8"/>
    <w:rsid w:val="00137532"/>
    <w:rsid w:val="00137F85"/>
    <w:rsid w:val="0014704E"/>
    <w:rsid w:val="0015045F"/>
    <w:rsid w:val="0015188D"/>
    <w:rsid w:val="00152E45"/>
    <w:rsid w:val="001543CB"/>
    <w:rsid w:val="001624C8"/>
    <w:rsid w:val="001626E9"/>
    <w:rsid w:val="00162A35"/>
    <w:rsid w:val="00163A2D"/>
    <w:rsid w:val="00164659"/>
    <w:rsid w:val="0016539C"/>
    <w:rsid w:val="00166473"/>
    <w:rsid w:val="00172D98"/>
    <w:rsid w:val="0017411B"/>
    <w:rsid w:val="00175510"/>
    <w:rsid w:val="00176155"/>
    <w:rsid w:val="00177947"/>
    <w:rsid w:val="00180613"/>
    <w:rsid w:val="0018371C"/>
    <w:rsid w:val="00184430"/>
    <w:rsid w:val="001859FD"/>
    <w:rsid w:val="001860DD"/>
    <w:rsid w:val="00186C3C"/>
    <w:rsid w:val="001936B6"/>
    <w:rsid w:val="00193DDD"/>
    <w:rsid w:val="00195D6C"/>
    <w:rsid w:val="00197FA9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07C"/>
    <w:rsid w:val="00206B8C"/>
    <w:rsid w:val="00207456"/>
    <w:rsid w:val="00212136"/>
    <w:rsid w:val="0021493F"/>
    <w:rsid w:val="002152B8"/>
    <w:rsid w:val="00215A0B"/>
    <w:rsid w:val="00215A9E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C5222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650F1"/>
    <w:rsid w:val="00365741"/>
    <w:rsid w:val="00366580"/>
    <w:rsid w:val="003819D5"/>
    <w:rsid w:val="0038204A"/>
    <w:rsid w:val="0038227B"/>
    <w:rsid w:val="00382BC1"/>
    <w:rsid w:val="00382D2A"/>
    <w:rsid w:val="00385E1F"/>
    <w:rsid w:val="00386DE2"/>
    <w:rsid w:val="00392F6D"/>
    <w:rsid w:val="00393645"/>
    <w:rsid w:val="00393863"/>
    <w:rsid w:val="00395C95"/>
    <w:rsid w:val="003A0347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4866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28E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1AF4"/>
    <w:rsid w:val="005036C2"/>
    <w:rsid w:val="00507B79"/>
    <w:rsid w:val="005112A6"/>
    <w:rsid w:val="005140E2"/>
    <w:rsid w:val="00515171"/>
    <w:rsid w:val="00515663"/>
    <w:rsid w:val="00520B6A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744"/>
    <w:rsid w:val="00583823"/>
    <w:rsid w:val="00583BA0"/>
    <w:rsid w:val="00587905"/>
    <w:rsid w:val="00590EB0"/>
    <w:rsid w:val="00592A1A"/>
    <w:rsid w:val="00595747"/>
    <w:rsid w:val="005A14A3"/>
    <w:rsid w:val="005A1FB4"/>
    <w:rsid w:val="005A428B"/>
    <w:rsid w:val="005A6791"/>
    <w:rsid w:val="005B6CEC"/>
    <w:rsid w:val="005B780C"/>
    <w:rsid w:val="005C2D21"/>
    <w:rsid w:val="005C7F5C"/>
    <w:rsid w:val="005D153F"/>
    <w:rsid w:val="005D45D9"/>
    <w:rsid w:val="005E17AE"/>
    <w:rsid w:val="005E66BB"/>
    <w:rsid w:val="005F0B28"/>
    <w:rsid w:val="005F6B46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3756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209B"/>
    <w:rsid w:val="00714917"/>
    <w:rsid w:val="007154D7"/>
    <w:rsid w:val="00721712"/>
    <w:rsid w:val="007315EB"/>
    <w:rsid w:val="00736B60"/>
    <w:rsid w:val="007371BC"/>
    <w:rsid w:val="007379F7"/>
    <w:rsid w:val="00737A05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BE3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6BD3"/>
    <w:rsid w:val="0086718F"/>
    <w:rsid w:val="00882D5F"/>
    <w:rsid w:val="00884374"/>
    <w:rsid w:val="008867B6"/>
    <w:rsid w:val="00887087"/>
    <w:rsid w:val="00887DE9"/>
    <w:rsid w:val="00897895"/>
    <w:rsid w:val="008A08B8"/>
    <w:rsid w:val="008A4DA6"/>
    <w:rsid w:val="008A5DF8"/>
    <w:rsid w:val="008A6D24"/>
    <w:rsid w:val="008B3130"/>
    <w:rsid w:val="008B5F75"/>
    <w:rsid w:val="008C7163"/>
    <w:rsid w:val="008C76FE"/>
    <w:rsid w:val="008D0AE5"/>
    <w:rsid w:val="008D0F0A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1327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CE7"/>
    <w:rsid w:val="009B4DB4"/>
    <w:rsid w:val="009B5270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3B77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A6C76"/>
    <w:rsid w:val="00AB40D7"/>
    <w:rsid w:val="00AB7BA3"/>
    <w:rsid w:val="00AC31DF"/>
    <w:rsid w:val="00AC323B"/>
    <w:rsid w:val="00AC40AF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0A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06839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61954"/>
    <w:rsid w:val="00B6232C"/>
    <w:rsid w:val="00B7102A"/>
    <w:rsid w:val="00B7321A"/>
    <w:rsid w:val="00B7483A"/>
    <w:rsid w:val="00B756CF"/>
    <w:rsid w:val="00B81A98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2D69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1BA5"/>
    <w:rsid w:val="00C52039"/>
    <w:rsid w:val="00C5216A"/>
    <w:rsid w:val="00C521C3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491E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0FAF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55D96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772F3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1F9A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2D6B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13EA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CD7"/>
    <w:rsid w:val="00E61F36"/>
    <w:rsid w:val="00E6472E"/>
    <w:rsid w:val="00E64A8D"/>
    <w:rsid w:val="00E72BFC"/>
    <w:rsid w:val="00E73F58"/>
    <w:rsid w:val="00E7540C"/>
    <w:rsid w:val="00E7676E"/>
    <w:rsid w:val="00E77C20"/>
    <w:rsid w:val="00E83010"/>
    <w:rsid w:val="00E84205"/>
    <w:rsid w:val="00E8457D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EF6138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47DB2"/>
    <w:rsid w:val="00F50305"/>
    <w:rsid w:val="00F50CFE"/>
    <w:rsid w:val="00F51AEB"/>
    <w:rsid w:val="00F523A6"/>
    <w:rsid w:val="00F53464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E6FA4"/>
    <w:rsid w:val="00FF00E4"/>
    <w:rsid w:val="00FF0112"/>
    <w:rsid w:val="00FF0A9C"/>
    <w:rsid w:val="00FF0C7F"/>
    <w:rsid w:val="00FF187D"/>
    <w:rsid w:val="00FF2127"/>
    <w:rsid w:val="00FF2BE4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91BB04E"/>
  <w15:docId w15:val="{052D4C00-8F46-4B64-A61F-F33B6711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B4CE7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qFormat/>
    <w:rsid w:val="009B4CE7"/>
  </w:style>
  <w:style w:type="character" w:styleId="Funotenzeichen">
    <w:name w:val="footnote reference"/>
    <w:basedOn w:val="Absatz-Standardschriftart"/>
    <w:qFormat/>
    <w:rsid w:val="009B4CE7"/>
    <w:rPr>
      <w:vertAlign w:val="superscript"/>
    </w:rPr>
  </w:style>
  <w:style w:type="character" w:styleId="Hyperlink">
    <w:name w:val="Hyperlink"/>
    <w:basedOn w:val="Absatz-Standardschriftart"/>
    <w:rsid w:val="009B4CE7"/>
    <w:rPr>
      <w:color w:val="0000FF"/>
      <w:u w:val="single"/>
    </w:rPr>
  </w:style>
  <w:style w:type="paragraph" w:styleId="Kopfzeile">
    <w:name w:val="header"/>
    <w:basedOn w:val="Standard"/>
    <w:rsid w:val="009B4C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9B4CE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B4CE7"/>
  </w:style>
  <w:style w:type="character" w:customStyle="1" w:styleId="FuzeileZchn">
    <w:name w:val="Fußzeile Zchn"/>
    <w:basedOn w:val="Absatz-Standardschriftart"/>
    <w:link w:val="Fuzeile"/>
    <w:rsid w:val="00C6491E"/>
    <w:rPr>
      <w:lang w:val="de-DE" w:eastAsia="de-DE" w:bidi="ar-SA"/>
    </w:rPr>
  </w:style>
  <w:style w:type="paragraph" w:customStyle="1" w:styleId="Textkrper21">
    <w:name w:val="Textkörper 21"/>
    <w:basedOn w:val="Standard"/>
    <w:rsid w:val="00C6491E"/>
    <w:pPr>
      <w:widowControl w:val="0"/>
      <w:spacing w:line="360" w:lineRule="auto"/>
      <w:ind w:left="737"/>
      <w:jc w:val="both"/>
    </w:pPr>
    <w:rPr>
      <w:rFonts w:ascii="Arial" w:hAnsi="Arial"/>
      <w:sz w:val="24"/>
    </w:rPr>
  </w:style>
  <w:style w:type="paragraph" w:customStyle="1" w:styleId="StichpunkteunterStandard">
    <w:name w:val="Stichpunkte unter Standard"/>
    <w:basedOn w:val="Standard"/>
    <w:rsid w:val="00C6491E"/>
    <w:pPr>
      <w:numPr>
        <w:numId w:val="7"/>
      </w:numPr>
      <w:tabs>
        <w:tab w:val="left" w:pos="907"/>
      </w:tabs>
      <w:spacing w:line="360" w:lineRule="auto"/>
    </w:pPr>
    <w:rPr>
      <w:rFonts w:ascii="Arial" w:hAnsi="Arial"/>
      <w:sz w:val="22"/>
    </w:rPr>
  </w:style>
  <w:style w:type="paragraph" w:customStyle="1" w:styleId="Nummerierung">
    <w:name w:val="Nummerierung"/>
    <w:basedOn w:val="Standard"/>
    <w:rsid w:val="00C6491E"/>
    <w:pPr>
      <w:numPr>
        <w:numId w:val="6"/>
      </w:numPr>
      <w:tabs>
        <w:tab w:val="clear" w:pos="1248"/>
        <w:tab w:val="left" w:pos="1134"/>
      </w:tabs>
      <w:spacing w:line="360" w:lineRule="auto"/>
      <w:ind w:left="1134"/>
      <w:jc w:val="both"/>
    </w:pPr>
    <w:rPr>
      <w:rFonts w:ascii="Arial" w:hAnsi="Arial" w:cs="Arial"/>
      <w:sz w:val="22"/>
    </w:rPr>
  </w:style>
  <w:style w:type="paragraph" w:customStyle="1" w:styleId="StichpunkteunterNummerierung">
    <w:name w:val="Stichpunkte unter Nummerierung"/>
    <w:basedOn w:val="StichpunkteunterStandard"/>
    <w:next w:val="Nummerierung"/>
    <w:rsid w:val="00C6491E"/>
    <w:pPr>
      <w:tabs>
        <w:tab w:val="clear" w:pos="907"/>
        <w:tab w:val="left" w:pos="1134"/>
      </w:tabs>
      <w:ind w:left="1474" w:hanging="340"/>
    </w:pPr>
  </w:style>
  <w:style w:type="paragraph" w:styleId="Textkrper">
    <w:name w:val="Body Text"/>
    <w:basedOn w:val="Standard"/>
    <w:rsid w:val="00866BD3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/>
      <w:autoSpaceDE/>
      <w:autoSpaceDN/>
      <w:adjustRightInd/>
      <w:spacing w:line="360" w:lineRule="atLeast"/>
      <w:jc w:val="center"/>
      <w:textAlignment w:val="auto"/>
    </w:pPr>
    <w:rPr>
      <w:rFonts w:ascii="Arial" w:hAnsi="Arial" w:cs="Arial"/>
      <w:sz w:val="28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60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60DD"/>
    <w:rPr>
      <w:rFonts w:ascii="Tahoma" w:hAnsi="Tahoma" w:cs="Tahoma"/>
      <w:sz w:val="16"/>
      <w:szCs w:val="16"/>
    </w:rPr>
  </w:style>
  <w:style w:type="paragraph" w:customStyle="1" w:styleId="b1">
    <w:name w:val="Üb 1"/>
    <w:basedOn w:val="Listenabsatz"/>
    <w:next w:val="Standard"/>
    <w:qFormat/>
    <w:rsid w:val="005A6791"/>
    <w:pPr>
      <w:keepNext/>
      <w:numPr>
        <w:numId w:val="10"/>
      </w:numPr>
      <w:tabs>
        <w:tab w:val="num" w:pos="360"/>
      </w:tabs>
      <w:overflowPunct/>
      <w:autoSpaceDE/>
      <w:autoSpaceDN/>
      <w:adjustRightInd/>
      <w:spacing w:before="360" w:after="120" w:line="288" w:lineRule="auto"/>
      <w:ind w:left="720" w:firstLine="0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5A6791"/>
    <w:pPr>
      <w:numPr>
        <w:numId w:val="9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qFormat/>
    <w:rsid w:val="005A6791"/>
    <w:pPr>
      <w:numPr>
        <w:ilvl w:val="1"/>
      </w:numPr>
      <w:tabs>
        <w:tab w:val="num" w:pos="360"/>
      </w:tabs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5A6791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qFormat/>
    <w:rsid w:val="005A6791"/>
    <w:pPr>
      <w:keepNext/>
      <w:numPr>
        <w:ilvl w:val="2"/>
        <w:numId w:val="10"/>
      </w:numPr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A6791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5A6791"/>
    <w:pPr>
      <w:numPr>
        <w:ilvl w:val="4"/>
      </w:numPr>
      <w:tabs>
        <w:tab w:val="num" w:pos="360"/>
      </w:tabs>
      <w:ind w:left="1304" w:hanging="1304"/>
      <w:outlineLvl w:val="4"/>
    </w:pPr>
  </w:style>
  <w:style w:type="character" w:customStyle="1" w:styleId="b4Zchn">
    <w:name w:val="Üb 4 Zchn"/>
    <w:basedOn w:val="Absatz-Standardschriftart"/>
    <w:link w:val="b4"/>
    <w:rsid w:val="005A6791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A6791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5A6791"/>
    <w:pPr>
      <w:keepNext w:val="0"/>
      <w:numPr>
        <w:ilvl w:val="6"/>
      </w:numPr>
      <w:tabs>
        <w:tab w:val="num" w:pos="360"/>
      </w:tabs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A6791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A6791"/>
    <w:pPr>
      <w:numPr>
        <w:ilvl w:val="7"/>
      </w:numPr>
      <w:tabs>
        <w:tab w:val="num" w:pos="360"/>
      </w:tabs>
    </w:pPr>
    <w:rPr>
      <w:i/>
      <w:iCs/>
    </w:rPr>
  </w:style>
  <w:style w:type="paragraph" w:styleId="Listenabsatz">
    <w:name w:val="List Paragraph"/>
    <w:basedOn w:val="Standard"/>
    <w:uiPriority w:val="34"/>
    <w:qFormat/>
    <w:rsid w:val="005A6791"/>
    <w:pPr>
      <w:ind w:left="720"/>
      <w:contextualSpacing/>
    </w:pPr>
  </w:style>
  <w:style w:type="paragraph" w:customStyle="1" w:styleId="Default">
    <w:name w:val="Default"/>
    <w:rsid w:val="00520B6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FunotentextZchn">
    <w:name w:val="Fußnotentext Zchn"/>
    <w:link w:val="Funotentext"/>
    <w:rsid w:val="00A83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ua.de/de/Themen-von-A-Z/Gefahrstoffe/Einstufung-und-Kennzeichnung/CMR-Gesamtliste_content.html" TargetMode="External"/><Relationship Id="rId1" Type="http://schemas.openxmlformats.org/officeDocument/2006/relationships/hyperlink" Target="http://echa.europa.eu/chem_data/authorisation_process/candidate_list_table_en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1F827-A499-4B42-A270-8FD589B3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hermann</dc:creator>
  <cp:lastModifiedBy>Ueberlein, Sven</cp:lastModifiedBy>
  <cp:revision>8</cp:revision>
  <dcterms:created xsi:type="dcterms:W3CDTF">2024-06-26T07:36:00Z</dcterms:created>
  <dcterms:modified xsi:type="dcterms:W3CDTF">2024-06-26T07:55:00Z</dcterms:modified>
</cp:coreProperties>
</file>